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Issuer review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Akropolis Group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Lithuania · Shopping centres and commercial real estate (Lithuania, Latvia; Galio Group)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OK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Key facts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S&amp;P BB+ stable (affirmed 2025-12-15); Fitch BB+ stable (affirmed 2026-07-13)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9M 2026 results - expected November 2026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Country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Lithuania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Securities held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Akropolis Group 6.000% green notes 2030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Green bond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XS3046302488  ·  6.0% · 2030-05-15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Position OK.</w:t>
            </w:r>
            <w:r>
              <w:rPr>
                <w:b w:val="0"/>
                <w:color w:val="1B2430"/>
                <w:sz w:val="21"/>
              </w:rPr>
              <w:t xml:space="preserve"> Akropolis owns shopping centres in Lithuania and Latvia and is rated BB+ (stable) by S&amp;P and Fitch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B2430"/>
                <w:sz w:val="21"/>
              </w:rPr>
              <w:t>. Occupancy 99.2%, bond covenants met with headroom: leverage 46% (limit 60%), coverage 3.3x (minimum 2x)</w:t>
            </w:r>
            <w:hyperlink r:id="rId15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56.6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27.8 %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profit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37.0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21.3 %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LTV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41.7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4.7 p. p.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EBITDA / interest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3.3</w:t>
            </w:r>
            <w:r>
              <w:rPr>
                <w:b w:val="0"/>
                <w:color w:val="667085"/>
                <w:sz w:val="18"/>
              </w:rPr>
              <w:t xml:space="preserve"> x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 xml:space="preserve"> 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Growth from Galio Group:</w:t>
      </w:r>
      <w:r>
        <w:rPr>
          <w:b w:val="0"/>
        </w:rPr>
        <w:t xml:space="preserve"> 1H revenue EUR 81.6m (63.3m), EBITDA EUR 56.6m (44.3m), profit EUR 37.0m (30.5m); Galio is consolidated from 2025-10-01, so the year-on-year comparison is not like-for-like</w:t>
      </w:r>
      <w:hyperlink r:id="rId16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Strong operations:</w:t>
      </w:r>
      <w:r>
        <w:rPr>
          <w:b w:val="0"/>
        </w:rPr>
        <w:t xml:space="preserve"> occupancy 99.2%, tenant sales EUR 604m (+8.1%), 117k visitors a day</w:t>
      </w:r>
      <w:hyperlink r:id="rId15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Leverage up:</w:t>
      </w:r>
      <w:r>
        <w:rPr>
          <w:b w:val="0"/>
        </w:rPr>
        <w:t xml:space="preserve"> net LTV 41.7% (37.0% at end-2025), net debt EUR 584.6m; EUR 90m of dividends paid in the half</w:t>
      </w:r>
      <w:hyperlink r:id="rId17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color w:val="2A78D6"/>
          <w:vertAlign w:val="superscript"/>
        </w:rPr>
        <w:t>,</w:t>
      </w:r>
      <w:hyperlink r:id="rId18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Ratings stable:</w:t>
      </w:r>
      <w:r>
        <w:rPr>
          <w:b w:val="0"/>
        </w:rPr>
        <w:t xml:space="preserve"> Fitch BB+ affirmed on 2026-07-13, S&amp;P BB+ on 2025-12-15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color w:val="2A78D6"/>
          <w:vertAlign w:val="superscript"/>
        </w:rPr>
        <w:t>,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Instrument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Coupon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Maturity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Issue rating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Note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XS3046302488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Akropolis Group 6.000% green notes 2030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Green bond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6.0%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2030-05-15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unsecured; par call from 2030-02-15, make-whole before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254"/>
        <w:gridCol w:w="1314"/>
        <w:gridCol w:w="1314"/>
        <w:gridCol w:w="1314"/>
        <w:gridCol w:w="2441"/>
      </w:tblGrid>
      <w:tr>
        <w:tc>
          <w:tcPr>
            <w:tcW w:type="dxa" w:w="325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Metric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Change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Revenue,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124.9*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140.0*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81.6*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28.9 %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87.8*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98.3*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56.6*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27.8 %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61.6*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88.1*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37.0*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21.3 %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assets,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1,300.4*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1,714.3*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1,616.6*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▼ 5.7 % vs FY2025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710.5*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799.6*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746.6*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0.8 %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debt, EUR m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527.5*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584.6*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10.8 % vs FY2025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debt / EBITDA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6.2x*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5.3x*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0.9x vs FY2025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LTV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37.0%*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41.7%*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4.7 p. p. vs FY2025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 / interest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3.3x*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Colours: green change – the metric is improving, red – worsening. Latest-period cell background: green – good level, amber – average, red – weak (internal benchmarks,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taken from the report summary;  ᶜ – own calculation.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kropolis_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Five shopping centres (Vilnius, Klaipėda, Šiauliai, Akropole Riga, Akropole Alfa) and Galio Group – 55 income-producing assets; asset value 61% Lithuania, 36% Latvia, 3% Estonia</w:t>
      </w:r>
      <w:hyperlink r:id="rId25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color w:val="2A78D6"/>
          <w:vertAlign w:val="superscript"/>
        </w:rPr>
        <w:t>,</w:t>
      </w:r>
      <w:hyperlink r:id="rId26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Development:</w:t>
      </w:r>
      <w:r>
        <w:rPr>
          <w:b w:val="0"/>
        </w:rPr>
        <w:t xml:space="preserve"> a new 3,500 sq m building in Klaipėda (EUR 6m) completed, Galio projects Cityzen (EUR 48m) and Remarco (&gt;EUR 40m); Akropolis Vingis has its permit, the financing decision is under review</w:t>
      </w:r>
      <w:hyperlink r:id="rId27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color w:val="2A78D6"/>
          <w:vertAlign w:val="superscript"/>
        </w:rPr>
        <w:t>,</w:t>
      </w:r>
      <w:hyperlink r:id="rId28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FY2025 revenue EUR 140.0m (124.9m), EBITDA EUR 98.3m (87.8m), profit EUR 88.1m (61.6m); portfolio value EUR 1,424m</w:t>
      </w:r>
      <w:hyperlink r:id="rId19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Borrowings EUR 691.7m and cash EUR 107.1m at 2026-06-30; average cost of debt 4.8%, average maturity 3.3 years</w:t>
      </w:r>
      <w:hyperlink r:id="rId21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color w:val="2A78D6"/>
          <w:vertAlign w:val="superscript"/>
        </w:rPr>
        <w:t>,</w:t>
      </w:r>
      <w:hyperlink r:id="rId17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 / target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Outcome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What changed and why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Refinance the EUR 300m 2.875% bonds (2026)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Redeemed in 2025 after issuing EUR 350m 6% bonds</w:t>
            </w:r>
            <w:hyperlink r:id="rId29">
              <w:r>
                <w:rPr>
                  <w:color w:val="2A78D6"/>
                  <w:vertAlign w:val="superscript"/>
                  <w:sz w:val="14"/>
                </w:rPr>
                <w:t xml:space="preserve">20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0">
              <w:r>
                <w:rPr>
                  <w:color w:val="2A78D6"/>
                  <w:vertAlign w:val="superscript"/>
                  <w:sz w:val="14"/>
                </w:rPr>
                <w:t xml:space="preserve">21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Done</w:t>
            </w:r>
            <w:hyperlink r:id="rId29">
              <w:r>
                <w:rPr>
                  <w:color w:val="2A78D6"/>
                  <w:vertAlign w:val="superscript"/>
                  <w:sz w:val="14"/>
                </w:rPr>
                <w:t xml:space="preserve">20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Met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Allocate the EUR 350m green bond proceeds to eligible green buildings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Fully allocated (2026)</w:t>
            </w:r>
            <w:hyperlink r:id="rId27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Done</w:t>
            </w:r>
            <w:hyperlink r:id="rId27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Met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Akropolis Vingis development in Vilnius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Permit received, financing decision under review</w:t>
            </w:r>
            <w:hyperlink r:id="rId28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decision yet</w:t>
            </w:r>
            <w:hyperlink r:id="rId28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 held:</w:t>
      </w:r>
      <w:r>
        <w:rPr>
          <w:b w:val="0"/>
        </w:rPr>
        <w:t xml:space="preserve"> 6.000% green notes, EUR 350m, issued 2025-05-15, maturing 2030-05-15; senior unsecured with a negative pledge; Euronext Dublin and Nasdaq Vilnius</w:t>
      </w:r>
      <w:hyperlink r:id="rId31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Early redemption:</w:t>
      </w:r>
      <w:r>
        <w:rPr>
          <w:b w:val="0"/>
        </w:rPr>
        <w:t xml:space="preserve"> make-whole before 2030-02-15, at par from 2030-02-15; 101% put on change of control</w:t>
      </w:r>
      <w:hyperlink r:id="rId30">
        <w:r>
          <w:rPr>
            <w:color w:val="2A78D6"/>
            <w:vertAlign w:val="superscript"/>
            <w:sz w:val="17"/>
          </w:rPr>
          <w:t xml:space="preserve">23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Covenants (2026-06-30):</w:t>
      </w:r>
      <w:r>
        <w:rPr>
          <w:b w:val="0"/>
        </w:rPr>
        <w:t xml:space="preserve"> consolidated leverage 46% (&lt;60%), secured leverage 21% (&lt;40%), coverage 3.3x (&gt;2x), unencumbered assets / unsecured debt 194% (&gt;125%) – all met</w:t>
      </w:r>
      <w:hyperlink r:id="rId23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 EUR 770.9m of property is pledged to banks, so the notes rank effectively below secured loans</w:t>
      </w:r>
      <w:hyperlink r:id="rId32">
        <w:r>
          <w:rPr>
            <w:color w:val="2A78D6"/>
            <w:vertAlign w:val="superscript"/>
            <w:sz w:val="17"/>
          </w:rPr>
          <w:t xml:space="preserve">24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moderate risk – strong assets and operations, leverage slightly higher, ample covenant headroom.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Market and environment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Growth from Galio:</w:t>
      </w:r>
      <w:r>
        <w:rPr>
          <w:b w:val="0"/>
        </w:rPr>
        <w:t xml:space="preserve"> revenue +29% to EUR 81.6m, EBITDA +28% to EUR 56.6m, mainly from Galio Group consolidated since October 2025</w:t>
      </w:r>
      <w:hyperlink r:id="rId33">
        <w:r>
          <w:rPr>
            <w:color w:val="2A78D6"/>
            <w:vertAlign w:val="superscript"/>
            <w:sz w:val="17"/>
          </w:rPr>
          <w:t xml:space="preserve">25</w:t>
        </w:r>
      </w:hyperlink>
      <w:r>
        <w:rPr>
          <w:b w:val="0"/>
        </w:rPr>
        <w:t>. Excluding it, the five centres' NOI rose about 6% on 3% indexation and new leases</w:t>
      </w:r>
      <w:hyperlink r:id="rId34">
        <w:r>
          <w:rPr>
            <w:color w:val="2A78D6"/>
            <w:vertAlign w:val="superscript"/>
            <w:sz w:val="17"/>
          </w:rPr>
          <w:t xml:space="preserve">26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Costlier funding:</w:t>
      </w:r>
      <w:r>
        <w:rPr>
          <w:b w:val="0"/>
        </w:rPr>
        <w:t xml:space="preserve"> interest expense EUR 17.9m (12.1m) as the new green bond pays 6% versus 2.875% on the refinanced bond</w:t>
      </w:r>
      <w:hyperlink r:id="rId34">
        <w:r>
          <w:rPr>
            <w:color w:val="2A78D6"/>
            <w:vertAlign w:val="superscript"/>
            <w:sz w:val="17"/>
          </w:rPr>
          <w:t xml:space="preserve">26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Consumers and housing:</w:t>
      </w:r>
      <w:r>
        <w:rPr>
          <w:b w:val="0"/>
        </w:rPr>
        <w:t xml:space="preserve"> tenant sales +8.1% to EUR 604.1m, faster than inflation; occupancy 99.2%</w:t>
      </w:r>
      <w:hyperlink r:id="rId33">
        <w:r>
          <w:rPr>
            <w:color w:val="2A78D6"/>
            <w:vertAlign w:val="superscript"/>
            <w:sz w:val="17"/>
          </w:rPr>
          <w:t xml:space="preserve">25</w:t>
        </w:r>
      </w:hyperlink>
      <w:r>
        <w:rPr>
          <w:color w:val="2A78D6"/>
          <w:vertAlign w:val="superscript"/>
        </w:rPr>
        <w:t>,</w:t>
      </w:r>
      <w:hyperlink r:id="rId15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 Galio sold 150 units (+48.5%) in a favourable market</w:t>
      </w:r>
      <w:hyperlink r:id="rId35">
        <w:r>
          <w:rPr>
            <w:color w:val="2A78D6"/>
            <w:vertAlign w:val="superscript"/>
            <w:sz w:val="17"/>
          </w:rPr>
          <w:t xml:space="preserve">27</w:t>
        </w:r>
      </w:hyperlink>
      <w:r>
        <w:rPr>
          <w:color w:val="2A78D6"/>
          <w:vertAlign w:val="superscript"/>
        </w:rPr>
        <w:t>,</w:t>
      </w:r>
      <w:hyperlink r:id="rId33">
        <w:r>
          <w:rPr>
            <w:color w:val="2A78D6"/>
            <w:vertAlign w:val="superscript"/>
            <w:sz w:val="17"/>
          </w:rPr>
          <w:t xml:space="preserve">25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Now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3 months ago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 months ago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12-month change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deposit facility rate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2.50%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2.64%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2.34%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2.03%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2.92%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3.25%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2.17%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1.08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AAA government 10-year yield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3.43%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3.23%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0.71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inflation (HICP, annual)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1.90%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0.50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area rates and inflation (ECB data, end-of-month value; Euribor and inflation – monthly average). Relevant for floating-rate and reset bonds and refinancing costs.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In the press</w:t>
      </w:r>
    </w:p>
    <w:p>
      <w:pPr>
        <w:spacing w:before="40" w:after="60"/>
      </w:pPr>
      <w:r>
        <w:rPr>
          <w:b w:val="0"/>
          <w:color w:val="667085"/>
          <w:sz w:val="18"/>
        </w:rPr>
        <w:t>Automatic news scan (Google News, LT), 2026-07-25 – 2026-10-23: 4 articles.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4E79"/>
                <w:sz w:val="14"/>
                <w:shd w:val="clear" w:color="auto" w:fill="EAF1F8"/>
              </w:rPr>
              <w:t xml:space="preserve"> RESULTS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6">
              <w:r>
                <w:rPr>
                  <w:color w:val="1B2430"/>
                  <w:sz w:val="18"/>
                </w:rPr>
                <w:t xml:space="preserve">„Akropolis Group“ šiemet tikisi gerų finansinių rezultatų</w:t>
              </w:r>
            </w:hyperlink>
            <w:r>
              <w:rPr>
                <w:b w:val="0"/>
                <w:color w:val="667085"/>
                <w:sz w:val="15"/>
              </w:rPr>
              <w:t xml:space="preserve">   15min.lt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2026-10-01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7">
              <w:r>
                <w:rPr>
                  <w:color w:val="1B2430"/>
                  <w:sz w:val="18"/>
                </w:rPr>
                <w:t xml:space="preserve">Klaipėdos „Akropolis“ baigė naujojo pastato statybas: atskleidė, kokie prekių ženklai čia įsikurs</w:t>
              </w:r>
            </w:hyperlink>
            <w:r>
              <w:rPr>
                <w:b w:val="0"/>
                <w:color w:val="667085"/>
                <w:sz w:val="15"/>
              </w:rPr>
              <w:t xml:space="preserve">   Delfi  ·  1 more similar articles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8">
              <w:r>
                <w:rPr>
                  <w:color w:val="1B2430"/>
                  <w:sz w:val="18"/>
                </w:rPr>
                <w:t xml:space="preserve">„Akropolis Group“ valdomas „Akropole Alfa“ tvarumo įvertinimą pagerino iki BREEAM „Excellent“</w:t>
              </w:r>
            </w:hyperlink>
            <w:r>
              <w:rPr>
                <w:b w:val="0"/>
                <w:color w:val="667085"/>
                <w:sz w:val="15"/>
              </w:rPr>
              <w:t xml:space="preserve">   Delfi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Commercial real estate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activity in excluded sectors</w:t>
            </w:r>
            <w:hyperlink r:id="rId25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UK, US OFAC consolidated sanctions lists (automatic check 2026-10-22).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adverse news found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2026-07-25 – 2026-10-23: 4 articles, 0 with an adverse keyword in the headline (details in the section "In the press").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All five centres hold BREEAM In-Use 'Very Good'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ISO 14001 and ISO 45001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 green finance framework with a Sustainalytics opinion</w:t>
            </w:r>
            <w:hyperlink r:id="rId39">
              <w:r>
                <w:rPr>
                  <w:color w:val="2A78D6"/>
                  <w:vertAlign w:val="superscript"/>
                  <w:sz w:val="15"/>
                </w:rPr>
                <w:t xml:space="preserve">29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EUR 350m bond proceeds are fully allocated to green buildings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yellow flags found.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board had no independent members at end-2025</w:t>
            </w:r>
            <w:hyperlink r:id="rId40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Real Estate policy</w:t>
            </w:r>
            <w:hyperlink r:id="rId41">
              <w:r>
                <w:rPr>
                  <w:color w:val="2A78D6"/>
                  <w:vertAlign w:val="superscript"/>
                  <w:sz w:val="15"/>
                </w:rPr>
                <w:t xml:space="preserve">31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Building certification, an environmental management system, a first CSRD sustainability report with limited assurance</w:t>
            </w:r>
            <w:hyperlink r:id="rId39">
              <w:r>
                <w:rPr>
                  <w:color w:val="2A78D6"/>
                  <w:vertAlign w:val="superscript"/>
                  <w:sz w:val="15"/>
                </w:rPr>
                <w:t xml:space="preserve">32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need: high sustainability standards.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An ESRS sustainability statement and green bond allocation are published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 Certified green buildings and green bonds.</w:t>
      </w:r>
    </w:p>
    <w:p>
      <w:pPr>
        <w:spacing w:before="40" w:after="60"/>
      </w:pPr>
      <w:r>
        <w:rPr>
          <w:b w:val="0"/>
          <w:color w:val="667085"/>
          <w:sz w:val="16"/>
        </w:rPr>
        <w:t>SEB policies applied: Policy on Sustainability Considerations in Investments (SEB AB); Real Estate and Construction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Akropolis Group - S&amp;P affirmed BB+ stable, 2025-12-15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Akropolis Group - Investor presentation 2026 H1 (slide numbers), p. 5,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5">
        <w:r>
          <w:rPr>
            <w:color w:val="2A78D6"/>
            <w:sz w:val="17"/>
          </w:rPr>
          <w:t xml:space="preserve">Akropolis Group - Investor presentation 2026 H1 (slide numbers), p. 7, 12,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6">
        <w:r>
          <w:rPr>
            <w:color w:val="2A78D6"/>
            <w:sz w:val="17"/>
          </w:rPr>
          <w:t xml:space="preserve">Akropolis Group - Consolidated condensed interim financial statements 6M 2026 (PwC review, LT), p. 6, 9, 11,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5">
        <w:r>
          <w:rPr>
            <w:color w:val="2A78D6"/>
            <w:sz w:val="17"/>
          </w:rPr>
          <w:t xml:space="preserve">Akropolis Group - Investor presentation 2026 H1 (slide numbers), p. 7,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7">
        <w:r>
          <w:rPr>
            <w:color w:val="2A78D6"/>
            <w:sz w:val="17"/>
          </w:rPr>
          <w:t xml:space="preserve">Akropolis Group - Investor presentation 2026 H1 (slide numbers), p. 11,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8">
        <w:r>
          <w:rPr>
            <w:color w:val="2A78D6"/>
            <w:sz w:val="17"/>
          </w:rPr>
          <w:t xml:space="preserve">Akropolis Group - Consolidated condensed interim financial statements 6M 2026 (PwC review, LT), p. 7-8,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9">
        <w:r>
          <w:rPr>
            <w:color w:val="2A78D6"/>
            <w:sz w:val="17"/>
          </w:rPr>
          <w:t xml:space="preserve">Akropolis Group - Consolidated annual management report 2025 (LT), p. 10, 2026-04-09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20">
        <w:r>
          <w:rPr>
            <w:color w:val="2A78D6"/>
            <w:sz w:val="17"/>
          </w:rPr>
          <w:t xml:space="preserve">Akropolis Group - Consolidated condensed interim financial statements 6M 2026 (PwC review, LT), p. 11,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6">
        <w:r>
          <w:rPr>
            <w:color w:val="2A78D6"/>
            <w:sz w:val="17"/>
          </w:rPr>
          <w:t xml:space="preserve">Akropolis Group - Consolidated condensed interim financial statements 6M 2026 (PwC review, LT), p. 6,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1">
        <w:r>
          <w:rPr>
            <w:color w:val="2A78D6"/>
            <w:sz w:val="17"/>
          </w:rPr>
          <w:t xml:space="preserve">Akropolis Group - Consolidated condensed interim financial statements 6M 2026 (PwC review, LT), p. 4,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2">
        <w:r>
          <w:rPr>
            <w:color w:val="2A78D6"/>
            <w:sz w:val="17"/>
          </w:rPr>
          <w:t xml:space="preserve">Akropolis Group - Consolidated condensed interim financial statements 6M 2026 (PwC review, LT), p. 5,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3">
        <w:r>
          <w:rPr>
            <w:color w:val="2A78D6"/>
            <w:sz w:val="17"/>
          </w:rPr>
          <w:t xml:space="preserve">Akropolis Group - Investor presentation 2026 H1 (slide numbers), p. 12,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5">
        <w:r>
          <w:rPr>
            <w:color w:val="2A78D6"/>
            <w:sz w:val="17"/>
          </w:rPr>
          <w:t xml:space="preserve">Akropolis Group - Consolidated condensed interim financial statements 6M 2026 (PwC review, LT), p. 9-10,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6">
        <w:r>
          <w:rPr>
            <w:color w:val="2A78D6"/>
            <w:sz w:val="17"/>
          </w:rPr>
          <w:t xml:space="preserve">Akropolis Group - Investor presentation 2026 H1 (slide numbers), p. 14,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7">
        <w:r>
          <w:rPr>
            <w:color w:val="2A78D6"/>
            <w:sz w:val="17"/>
          </w:rPr>
          <w:t xml:space="preserve">Akropolis Group - Investor presentation 2026 H1 (slide numbers), p. 6,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8">
        <w:r>
          <w:rPr>
            <w:color w:val="2A78D6"/>
            <w:sz w:val="17"/>
          </w:rPr>
          <w:t xml:space="preserve">Akropolis Group - Consolidated annual management report 2025 (LT), p. 6, 2026-04-09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19">
        <w:r>
          <w:rPr>
            <w:color w:val="2A78D6"/>
            <w:sz w:val="17"/>
          </w:rPr>
          <w:t xml:space="preserve">Akropolis Group - Consolidated annual management report 2025 (LT), p. 10-11, 2026-04-09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17">
        <w:r>
          <w:rPr>
            <w:color w:val="2A78D6"/>
            <w:sz w:val="17"/>
          </w:rPr>
          <w:t xml:space="preserve">Akropolis Group - Investor presentation 2026 H1 (slide numbers), p. 11-13,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9">
        <w:r>
          <w:rPr>
            <w:color w:val="2A78D6"/>
            <w:sz w:val="17"/>
          </w:rPr>
          <w:t xml:space="preserve">Akropolis Group - Consolidated condensed interim financial statements 6M 2026 (PwC review, LT), p. 8,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30">
        <w:r>
          <w:rPr>
            <w:color w:val="2A78D6"/>
            <w:sz w:val="17"/>
          </w:rPr>
          <w:t xml:space="preserve">Akropolis Group - Base Prospectus, EUR 350m 6.000% notes due 2030, p. 2-3, 2025-05-13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31">
        <w:r>
          <w:rPr>
            <w:color w:val="2A78D6"/>
            <w:sz w:val="17"/>
          </w:rPr>
          <w:t xml:space="preserve">Akropolis Group - Base Prospectus, EUR 350m 6.000% notes due 2030, p. 1-4, 2025-05-13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30">
        <w:r>
          <w:rPr>
            <w:color w:val="2A78D6"/>
            <w:sz w:val="17"/>
          </w:rPr>
          <w:t xml:space="preserve">Akropolis Group - Base Prospectus, EUR 350m 6.000% notes due 2030, p. 2, 2025-05-13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32">
        <w:r>
          <w:rPr>
            <w:color w:val="2A78D6"/>
            <w:sz w:val="17"/>
          </w:rPr>
          <w:t xml:space="preserve">Akropolis Group - Consolidated condensed interim financial statements 6M 2026 (PwC review, LT), p. 13,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33">
        <w:r>
          <w:rPr>
            <w:color w:val="2A78D6"/>
            <w:sz w:val="17"/>
          </w:rPr>
          <w:t xml:space="preserve">Akropolis Group - H1 2026 results news 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34">
        <w:r>
          <w:rPr>
            <w:color w:val="2A78D6"/>
            <w:sz w:val="17"/>
          </w:rPr>
          <w:t xml:space="preserve">Akropolis Group - Investor presentation 2026 H1 (slide numbers), p. 10,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35">
        <w:r>
          <w:rPr>
            <w:color w:val="2A78D6"/>
            <w:sz w:val="17"/>
          </w:rPr>
          <w:t xml:space="preserve">Akropolis Group - Investor presentation 2026 H1 (slide numbers), p. 8,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28.</w:t>
        <w:tab/>
      </w:r>
      <w:hyperlink r:id="rId25">
        <w:r>
          <w:rPr>
            <w:color w:val="2A78D6"/>
            <w:sz w:val="17"/>
          </w:rPr>
          <w:t xml:space="preserve">Akropolis Group - Consolidated condensed interim financial statements 6M 2026 (PwC review, LT), p. 9,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29.</w:t>
        <w:tab/>
      </w:r>
      <w:hyperlink r:id="rId39">
        <w:r>
          <w:rPr>
            <w:color w:val="2A78D6"/>
            <w:sz w:val="17"/>
          </w:rPr>
          <w:t xml:space="preserve">Akropolis Group - Consolidated annual management report 2025 (LT), p. 4, 7, 2026-04-09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30.</w:t>
        <w:tab/>
      </w:r>
      <w:hyperlink r:id="rId40">
        <w:r>
          <w:rPr>
            <w:color w:val="2A78D6"/>
            <w:sz w:val="17"/>
          </w:rPr>
          <w:t xml:space="preserve">Akropolis Group - Consolidated annual management report 2025 (LT), p. 25-27, 2026-04-09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31.</w:t>
        <w:tab/>
      </w:r>
      <w:hyperlink r:id="rId41">
        <w:r>
          <w:rPr>
            <w:color w:val="2A78D6"/>
            <w:sz w:val="17"/>
          </w:rPr>
          <w:t xml:space="preserve">SEB Real Estate and Construction sector policy (2026-04-23), p. 6-10,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32.</w:t>
        <w:tab/>
      </w:r>
      <w:hyperlink r:id="rId39">
        <w:r>
          <w:rPr>
            <w:color w:val="2A78D6"/>
            <w:sz w:val="17"/>
          </w:rPr>
          <w:t xml:space="preserve">Akropolis Group - Consolidated annual management report 2025 (LT), p. 4, 6, 2026-04-09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Akropolis Group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Akropolis Group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Akropolis Group</w:t>
    </w:r>
    <w:r>
      <w:rPr>
        <w:b w:val="0"/>
        <w:color w:val="667085"/>
        <w:sz w:val="16"/>
      </w:rPr>
      <w:tab/>
      <w:t>Issuer review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www.akropolis.eu/lt/naujienos/sp-global-ratings-patvirtino-akropolis-group-suteikt-bb-kredito-reiting-su-stabilia-perspektyva/46475" TargetMode="External"/><Relationship Id="rId13" Type="http://schemas.openxmlformats.org/officeDocument/2006/relationships/hyperlink" Target="https://akropolis.eu/view-file/751_Akropolis%20-%20review%202026%20H1.pdf#page=5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akropolis.eu/view-file/751_Akropolis%20-%20review%202026%20H1.pdf#page=7" TargetMode="External"/><Relationship Id="rId16" Type="http://schemas.openxmlformats.org/officeDocument/2006/relationships/hyperlink" Target="https://akropolis.eu/view-file/749_AKROPOLIS%20GROUP,%20UAB%20konsoliduotos%20sutrumpintos%20tarpin%C4%97s%20finansin%C4%97s%20ataskaitos%20u%C5%BE%20%C5%A1e%C5%A1i%C5%B3%20m%C4%97nesi%C5%B3%20laikotarp%C4%AF,%20pasibaigus%C4%AF%202026%20m.%20bir%C5%BEelio%2030%20d..pdf#page=6" TargetMode="External"/><Relationship Id="rId17" Type="http://schemas.openxmlformats.org/officeDocument/2006/relationships/hyperlink" Target="https://akropolis.eu/view-file/751_Akropolis%20-%20review%202026%20H1.pdf#page=11" TargetMode="External"/><Relationship Id="rId18" Type="http://schemas.openxmlformats.org/officeDocument/2006/relationships/hyperlink" Target="https://akropolis.eu/view-file/749_AKROPOLIS%20GROUP,%20UAB%20konsoliduotos%20sutrumpintos%20tarpin%C4%97s%20finansin%C4%97s%20ataskaitos%20u%C5%BE%20%C5%A1e%C5%A1i%C5%B3%20m%C4%97nesi%C5%B3%20laikotarp%C4%AF,%20pasibaigus%C4%AF%202026%20m.%20bir%C5%BEelio%2030%20d..pdf#page=7" TargetMode="External"/><Relationship Id="rId19" Type="http://schemas.openxmlformats.org/officeDocument/2006/relationships/hyperlink" Target="https://akropolis.eu/view-file/739_AKROPOLIS%20GROUP,%20UAB%20Konsoliduotoji%20metin%C4%97%20vadovyb%C4%97s%20ataskaita%202025.pdf#page=10" TargetMode="External"/><Relationship Id="rId20" Type="http://schemas.openxmlformats.org/officeDocument/2006/relationships/hyperlink" Target="https://akropolis.eu/view-file/749_AKROPOLIS%20GROUP,%20UAB%20konsoliduotos%20sutrumpintos%20tarpin%C4%97s%20finansin%C4%97s%20ataskaitos%20u%C5%BE%20%C5%A1e%C5%A1i%C5%B3%20m%C4%97nesi%C5%B3%20laikotarp%C4%AF,%20pasibaigus%C4%AF%202026%20m.%20bir%C5%BEelio%2030%20d..pdf#page=11" TargetMode="External"/><Relationship Id="rId21" Type="http://schemas.openxmlformats.org/officeDocument/2006/relationships/hyperlink" Target="https://akropolis.eu/view-file/749_AKROPOLIS%20GROUP,%20UAB%20konsoliduotos%20sutrumpintos%20tarpin%C4%97s%20finansin%C4%97s%20ataskaitos%20u%C5%BE%20%C5%A1e%C5%A1i%C5%B3%20m%C4%97nesi%C5%B3%20laikotarp%C4%AF,%20pasibaigus%C4%AF%202026%20m.%20bir%C5%BEelio%2030%20d..pdf#page=4" TargetMode="External"/><Relationship Id="rId22" Type="http://schemas.openxmlformats.org/officeDocument/2006/relationships/hyperlink" Target="https://akropolis.eu/view-file/749_AKROPOLIS%20GROUP,%20UAB%20konsoliduotos%20sutrumpintos%20tarpin%C4%97s%20finansin%C4%97s%20ataskaitos%20u%C5%BE%20%C5%A1e%C5%A1i%C5%B3%20m%C4%97nesi%C5%B3%20laikotarp%C4%AF,%20pasibaigus%C4%AF%202026%20m.%20bir%C5%BEelio%2030%20d..pdf#page=5" TargetMode="External"/><Relationship Id="rId23" Type="http://schemas.openxmlformats.org/officeDocument/2006/relationships/hyperlink" Target="https://akropolis.eu/view-file/751_Akropolis%20-%20review%202026%20H1.pdf#page=12" TargetMode="External"/><Relationship Id="rId24" Type="http://schemas.openxmlformats.org/officeDocument/2006/relationships/image" Target="media/image2.png"/><Relationship Id="rId25" Type="http://schemas.openxmlformats.org/officeDocument/2006/relationships/hyperlink" Target="https://akropolis.eu/view-file/749_AKROPOLIS%20GROUP,%20UAB%20konsoliduotos%20sutrumpintos%20tarpin%C4%97s%20finansin%C4%97s%20ataskaitos%20u%C5%BE%20%C5%A1e%C5%A1i%C5%B3%20m%C4%97nesi%C5%B3%20laikotarp%C4%AF,%20pasibaigus%C4%AF%202026%20m.%20bir%C5%BEelio%2030%20d..pdf#page=9" TargetMode="External"/><Relationship Id="rId26" Type="http://schemas.openxmlformats.org/officeDocument/2006/relationships/hyperlink" Target="https://akropolis.eu/view-file/751_Akropolis%20-%20review%202026%20H1.pdf#page=14" TargetMode="External"/><Relationship Id="rId27" Type="http://schemas.openxmlformats.org/officeDocument/2006/relationships/hyperlink" Target="https://akropolis.eu/view-file/751_Akropolis%20-%20review%202026%20H1.pdf#page=6" TargetMode="External"/><Relationship Id="rId28" Type="http://schemas.openxmlformats.org/officeDocument/2006/relationships/hyperlink" Target="https://akropolis.eu/view-file/739_AKROPOLIS%20GROUP,%20UAB%20Konsoliduotoji%20metin%C4%97%20vadovyb%C4%97s%20ataskaita%202025.pdf#page=6" TargetMode="External"/><Relationship Id="rId29" Type="http://schemas.openxmlformats.org/officeDocument/2006/relationships/hyperlink" Target="https://akropolis.eu/view-file/749_AKROPOLIS%20GROUP,%20UAB%20konsoliduotos%20sutrumpintos%20tarpin%C4%97s%20finansin%C4%97s%20ataskaitos%20u%C5%BE%20%C5%A1e%C5%A1i%C5%B3%20m%C4%97nesi%C5%B3%20laikotarp%C4%AF,%20pasibaigus%C4%AF%202026%20m.%20bir%C5%BEelio%2030%20d..pdf#page=8" TargetMode="External"/><Relationship Id="rId30" Type="http://schemas.openxmlformats.org/officeDocument/2006/relationships/hyperlink" Target="https://www.akropolis.eu/view-file/585_Base%20Prospectus%20of%20AKROPOLIS%20GROUP,%20UAB%20350%20M%20Bond%20issuance%20due%202030.pdf#page=2" TargetMode="External"/><Relationship Id="rId31" Type="http://schemas.openxmlformats.org/officeDocument/2006/relationships/hyperlink" Target="https://www.akropolis.eu/view-file/585_Base%20Prospectus%20of%20AKROPOLIS%20GROUP,%20UAB%20350%20M%20Bond%20issuance%20due%202030.pdf#page=1" TargetMode="External"/><Relationship Id="rId32" Type="http://schemas.openxmlformats.org/officeDocument/2006/relationships/hyperlink" Target="https://akropolis.eu/view-file/749_AKROPOLIS%20GROUP,%20UAB%20konsoliduotos%20sutrumpintos%20tarpin%C4%97s%20finansin%C4%97s%20ataskaitos%20u%C5%BE%20%C5%A1e%C5%A1i%C5%B3%20m%C4%97nesi%C5%B3%20laikotarp%C4%AF,%20pasibaigus%C4%AF%202026%20m.%20bir%C5%BEelio%2030%20d..pdf#page=13" TargetMode="External"/><Relationship Id="rId33" Type="http://schemas.openxmlformats.org/officeDocument/2006/relationships/hyperlink" Target="https://www.akropolis.eu/lt/naujienos/akropolis-group-rezultatai-pirmj-pusmet-augo-lankytoj-srautai-nuominink-apyvarta-isiplt-veiklos-apimtys/46479" TargetMode="External"/><Relationship Id="rId34" Type="http://schemas.openxmlformats.org/officeDocument/2006/relationships/hyperlink" Target="https://akropolis.eu/view-file/751_Akropolis%20-%20review%202026%20H1.pdf#page=10" TargetMode="External"/><Relationship Id="rId35" Type="http://schemas.openxmlformats.org/officeDocument/2006/relationships/hyperlink" Target="https://akropolis.eu/view-file/751_Akropolis%20-%20review%202026%20H1.pdf#page=8" TargetMode="External"/><Relationship Id="rId36" Type="http://schemas.openxmlformats.org/officeDocument/2006/relationships/hyperlink" Target="https://news.google.com/rss/articles/CBMitAFBVV95cUxOQmNNazlPTmhtbVAwRjQ0VDhDcFRFejU0WFh4MzV3cGppUE1nalhScmdmT0tDTGY5d3RBeG0wSDN1UnhaZFQwU3NGRDhOU2VDWFd0YjNFTC1CbktqQWlZaG5JRkUxcmdUVUJtZUFvcWQ0RnM5X3JUTWtRQ0RFdWFOU1FnTDZPZkYzcHNkNXh4c21sWmVKbmRYeVVFYmJSQVlrZjVqd1lVM2ljTlg2SHBEZWpULUY?oc=5" TargetMode="External"/><Relationship Id="rId37" Type="http://schemas.openxmlformats.org/officeDocument/2006/relationships/hyperlink" Target="https://news.google.com/rss/articles/CBMi2gFBVV95cUxNWlYyZ0hPbnVBZDg0OExIcmNBUlVIVDdUMlZQbV8tUEQzcnoyOUY1REk4ZmNaTDZtMmM1SmdhWXVEejc3VmZYa1BScGxudWhxd2tMZy03dmdDaG9pT3Y1UWJOMUdFSEtsVjBKTEJCZXFLNW5FclhrSUtlQThBbHpEcVlKazVSTzlzeWotTUMzaXRuVjJIeGRsM2V1cDVBb2ZnMXdUSHVuQnhMM3hiNkNFLUp3LWdDU0pxRVdGdWNzLTNuM1ZNbVpsUmkwT2dwYWFhXzhlWmVUUDhIdw?oc=5" TargetMode="External"/><Relationship Id="rId38" Type="http://schemas.openxmlformats.org/officeDocument/2006/relationships/hyperlink" Target="https://news.google.com/rss/articles/CBMi5AFBVV95cUxNZDJ3NXcxSk5WemZyNGxQOUg0aWRaVWJhOUp4RGZRcXRpWktoNE10Q1VFWnRzbWZkbFRVY0FGZUJMcWNJX3I0b2dlUUhwSGkzbERsc2dCYnhYVnN4RUFRMS1OUHBpMUYyTTBnc3QxeWZFR3FaT2RwSmNNT0VjenpmSlZXRko0ZnM1ZHNUcjdrQUtkbTBNTk9NVHRvVkpNbTFrVmVROWRwSmhCMF9teDJiTTRZb1NUSzV3cEhLQ0JSN3BmTjJMYVZ6aVktV0NOUDBUYlR3VnNWdjZJMHRtZU52eEg2eVI?oc=5" TargetMode="External"/><Relationship Id="rId39" Type="http://schemas.openxmlformats.org/officeDocument/2006/relationships/hyperlink" Target="https://akropolis.eu/view-file/739_AKROPOLIS%20GROUP,%20UAB%20Konsoliduotoji%20metin%C4%97%20vadovyb%C4%97s%20ataskaita%202025.pdf#page=4" TargetMode="External"/><Relationship Id="rId40" Type="http://schemas.openxmlformats.org/officeDocument/2006/relationships/hyperlink" Target="https://akropolis.eu/view-file/739_AKROPOLIS%20GROUP,%20UAB%20Konsoliduotoji%20metin%C4%97%20vadovyb%C4%97s%20ataskaita%202025.pdf#page=25" TargetMode="External"/><Relationship Id="rId41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