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Akropolis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XS3046302488  ·  6,0 % · 2030-05-15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Užimtumas 99,2 %, obligacijų kovenantų laikomasi su atsarga: svertas 46 % (riba 60 %), padengimas 3,3 karto (riba 2)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LTV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41,7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palūkanos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3,3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7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9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3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iš Galio:</w:t>
      </w:r>
      <w:r>
        <w:rPr>
          <w:b w:val="0"/>
        </w:rPr>
        <w:t xml:space="preserve"> pajamos +29 % iki 81,6 mln. EUR, EBITDA +28 % iki 56,6 mln. EUR – daugiausia dėl nuo 2025 m. spalio konsoliduojamos Galio Group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 Be jos penkių centrų grynosios veiklos pajamos +6 % dėl 3 % indeksacijos ir naujų nuomos sutarčių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Brangesnis finansavimas:</w:t>
      </w:r>
      <w:r>
        <w:rPr>
          <w:b w:val="0"/>
        </w:rPr>
        <w:t xml:space="preserve"> palūkanų sąnaudos 17,9 mln. EUR (12,1 mln.), nes naujų žaliųjų obligacijų kuponas 6 %, o refinansuotų – 2,875 %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Vartotojai ir būstas:</w:t>
      </w:r>
      <w:r>
        <w:rPr>
          <w:b w:val="0"/>
        </w:rPr>
        <w:t xml:space="preserve"> nuomininkų apyvarta +8,1 % iki 604,1 mln. EUR – sparčiau nei infliacija; užimtumas 99,2 %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Galio parduota 150 butų (+48,5 %) dėl palankios rinkos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6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3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9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7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Akropolis Group - H1 2026 results news 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Akropolis Group - Investor presentation 2026 H1 (slide numbers), p. 10,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Akropolis Group - Investor presentation 2026 H1 (slide numbers), p. 8,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5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0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1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Akropolis Group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Akropolis Group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akropolis.eu/view-file/751_Akropolis%20-%20review%202026%20H1.pdf#page=7" TargetMode="External"/><Relationship Id="rId16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7" Type="http://schemas.openxmlformats.org/officeDocument/2006/relationships/hyperlink" Target="https://akropolis.eu/view-file/751_Akropolis%20-%20review%202026%20H1.pdf#page=11" TargetMode="External"/><Relationship Id="rId1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9" Type="http://schemas.openxmlformats.org/officeDocument/2006/relationships/hyperlink" Target="https://akropolis.eu/view-file/739_AKROPOLIS%20GROUP,%20UAB%20Konsoliduotoji%20metin%C4%97%20vadovyb%C4%97s%20ataskaita%202025.pdf#page=10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3" Type="http://schemas.openxmlformats.org/officeDocument/2006/relationships/hyperlink" Target="https://akropolis.eu/view-file/751_Akropolis%20-%20review%202026%20H1.pdf#page=12" TargetMode="External"/><Relationship Id="rId24" Type="http://schemas.openxmlformats.org/officeDocument/2006/relationships/image" Target="media/image2.png"/><Relationship Id="rId2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6" Type="http://schemas.openxmlformats.org/officeDocument/2006/relationships/hyperlink" Target="https://akropolis.eu/view-file/751_Akropolis%20-%20review%202026%20H1.pdf#page=14" TargetMode="External"/><Relationship Id="rId27" Type="http://schemas.openxmlformats.org/officeDocument/2006/relationships/hyperlink" Target="https://akropolis.eu/view-file/751_Akropolis%20-%20review%202026%20H1.pdf#page=6" TargetMode="External"/><Relationship Id="rId28" Type="http://schemas.openxmlformats.org/officeDocument/2006/relationships/hyperlink" Target="https://akropolis.eu/view-file/739_AKROPOLIS%20GROUP,%20UAB%20Konsoliduotoji%20metin%C4%97%20vadovyb%C4%97s%20ataskaita%202025.pdf#page=6" TargetMode="External"/><Relationship Id="rId2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1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2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3" Type="http://schemas.openxmlformats.org/officeDocument/2006/relationships/hyperlink" Target="https://www.akropolis.eu/lt/naujienos/akropolis-group-rezultatai-pirmj-pusmet-augo-lankytoj-srautai-nuominink-apyvarta-isiplt-veiklos-apimtys/46479" TargetMode="External"/><Relationship Id="rId34" Type="http://schemas.openxmlformats.org/officeDocument/2006/relationships/hyperlink" Target="https://akropolis.eu/view-file/751_Akropolis%20-%20review%202026%20H1.pdf#page=10" TargetMode="External"/><Relationship Id="rId35" Type="http://schemas.openxmlformats.org/officeDocument/2006/relationships/hyperlink" Target="https://akropolis.eu/view-file/751_Akropolis%20-%20review%202026%20H1.pdf#page=8" TargetMode="External"/><Relationship Id="rId36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7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8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9" Type="http://schemas.openxmlformats.org/officeDocument/2006/relationships/hyperlink" Target="https://akropolis.eu/view-file/739_AKROPOLIS%20GROUP,%20UAB%20Konsoliduotoji%20metin%C4%97%20vadovyb%C4%97s%20ataskaita%202025.pdf#page=4" TargetMode="External"/><Relationship Id="rId40" Type="http://schemas.openxmlformats.org/officeDocument/2006/relationships/hyperlink" Target="https://akropolis.eu/view-file/739_AKROPOLIS%20GROUP,%20UAB%20Konsoliduotoji%20metin%C4%97%20vadovyb%C4%97s%20ataskaita%202025.pdf#page=25" TargetMode="External"/><Relationship Id="rId4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