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Augstsprieguma tīkls (AST)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A- with a stable outlook (agency not named in the report)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LV0000802528  ·  0,5 % · 2027-01-20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AST – 100 % valstybinis Latvijos elektros perdavimo operatorius su A- reitingu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2027-01-20 išperkamai 100 mln. EUR obligacijai turima 94,7 mln. EUR pinigų ir nepanaudota SEB overdrafto linija iki 90 mln. EUR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61,4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22,3 %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22,5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17,8 %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0,93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0,39x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gerėja:</w:t>
      </w:r>
      <w:r>
        <w:rPr>
          <w:b w:val="0"/>
        </w:rPr>
        <w:t xml:space="preserve"> I pusm. EBITDA 61,4 mln. EUR (50,2 mln.), marža 33 % (28 %); pelnas 22,5 mln. EUR (19,1 mln.)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nedidelė:</w:t>
      </w:r>
      <w:r>
        <w:rPr>
          <w:b w:val="0"/>
        </w:rPr>
        <w:t xml:space="preserve"> grynoji skola apie 94 mln. EUR, apie 0,9 karto metinės EBITDA (mūsų skaičiavimas); nuosavo kapitalo dalis 40 %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 išpirkimas padengtas:</w:t>
      </w:r>
      <w:r>
        <w:rPr>
          <w:b w:val="0"/>
        </w:rPr>
        <w:t xml:space="preserve"> 2027-01 išperkamai 100 mln. EUR žaliajai obligacijai – SEB overdraftas iki 90 mln. EUR (iki 2027-03-10), 2026-06-30 nepanaudotas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Didelės investicijos:</w:t>
      </w:r>
      <w:r>
        <w:rPr>
          <w:b w:val="0"/>
        </w:rPr>
        <w:t xml:space="preserve"> 2025 m. investuota 209 mln. EUR; Plėtros planas 2027–2036 – 1 066 mln. EUR, iš jų iki 289 mln. EUR ES lėšų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LV0000802528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AST 0.5% green bond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2027-01-20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 (not rated separately: the issuer chose not to rate its bonds (S&amp;P issuer rating A-))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Listed 2021-11-29; refinancing backed by SEB overdraft up to EUR 90m (to 2027-03-10)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258,6*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354,1*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90,8*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17,8 %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209,1*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104,6*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40,2 %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74,2ᶜ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120,0ᶜ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134,3ᶜ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29,7 %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0,69xᶜ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0,93xᶜ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0,39x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641,1*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651,7*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644,9*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657,6*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1 529,0*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1 587,9*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1 567,7*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1 640,3*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4,6 %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t_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AST valdo Latvijos 330 kV ir 110 kV perdavimo tinklą (330 kV:</w:t>
      </w:r>
      <w:r>
        <w:rPr>
          <w:b w:val="0"/>
        </w:rPr>
        <w:t xml:space="preserve"> 17 pastočių, 1 727 km; 110 kV: 130 pastočių, 3 786 km) ir 68,46 % Conexus Baltic Grid (dujų perdavimas ir Inčukalnio saugykla)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Baltijos šalys sinchronizuotos su kontinentine Europa 2025-02-09; balansavimo pajėgumų rinka veikia nuo 2025-02-04</w:t>
      </w:r>
      <w:hyperlink r:id="rId22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 2026-01-01 patvirtinti nauji trejų metų tarifai, vidutinis AST tarifas mažėja 10 %</w:t>
      </w:r>
      <w:hyperlink r:id="rId2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354,1 mln. EUR (258,6 mln.), EBITDA 90,8 mln. EUR (108,3 mln.), pelnas 27,5 mln. EUR (22,7 mln.)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skolinimasis 189,0 mln. EUR, pinigai 94,7 mln. EUR; obligacijos (100,2 mln. EUR) jau trumpalaikės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per I pusm. patronuojanti įmonė išmokėjo 13,6 mln. EUR</w:t>
      </w:r>
      <w:hyperlink r:id="rId24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Baltijos šalių sinchronizacija su kontinentine Europa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 2025-02-09, patvirtinta kaip nuolatinė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100 mln. EUR obligaciją (išpirkimas 2027-01-20)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Pinigai 94,7 mln. EUR ir SEB overdraftas iki 90 mln. EUR; naujos emisijos plano ataskaitoje nėra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Išpirkimui lėšų pakanka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Plėtros planas 2027–2036: 1 066 mln. EUR investicijų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Pateiktas reguliuotojui (PUC) 2026-07-30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 patvirtinimo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0,5 % žalioji obligacija, 100 mln. EUR, išpirkimas 2027-01-20 (Nasdaq Riga nuo 2021-11-29)</w:t>
      </w:r>
      <w:hyperlink r:id="rId2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Išpirkimas:</w:t>
      </w:r>
      <w:r>
        <w:rPr>
          <w:b w:val="0"/>
        </w:rPr>
        <w:t xml:space="preserve"> iki išpirkimo liko mažiau nei 3 mėn.; pinigų (94,7 mln. EUR) ir nepanaudoto 90 mln. EUR overdrafto pakanka visai sumai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 – valstybės nuosavybė, reguliuojama veikla, A- reitingas ir užtikrintas išpirkimo finansavimas.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augo</w:t>
      </w:r>
      <w:r>
        <w:rPr>
          <w:b w:val="0"/>
        </w:rPr>
        <w:t xml:space="preserve"> iki 22,5 mln. EUR (prieš metus 19,1 mln.) dėl didesnių elektros ir dujų perdavimo pajamų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elektros perdavimo pajamos +8 % dėl balansavimo ir perkrovų valdymo pajamų (+41,8 mln. EUR)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Tarifai:</w:t>
      </w:r>
      <w:r>
        <w:rPr>
          <w:b w:val="0"/>
        </w:rPr>
        <w:t xml:space="preserve"> nauji perdavimo tarifai nuo 2026-01-01; sukauptas perkrovų pajamas iki 2028 m. pabaigos galima naudoti iki 44,4 mln. EUR, 2026 m. I pusm. pripažinta 4,0 mln. EUR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Dujų saugyklos pajamos –36 % dėl mažesnių užsakymų ir tarifo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Rinka:</w:t>
      </w:r>
      <w:r>
        <w:rPr>
          <w:b w:val="0"/>
        </w:rPr>
        <w:t xml:space="preserve"> birželio vidutinė elektros kaina Latvijoje 92,23 EUR/MWh (+12,3 % per mėn.) dėl mažesnės vėjo gamybos ir karščio Europoje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; sinchronizacija ir atsinaujinančios energetikos plėtra gerokai didina balansavimo rezervų poreikį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Per šį laikotarpį naujienų apie emitentą nerasta.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perdavimas ir dujų infrastruktūra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Tinklas jungia atsinaujinančią energiją: 2026 m. I ketv. – 5 nauji prijungimo susitarimai, tarp jų 160 MW hibridinė jėgainė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Planuojamos naujos jungtys su Estija, Švedija ir Vokietija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Žaliosios obligacijos (2021) finansuoja perdavimo tinklą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SF6 įranga keičiama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Konkursai į valdybą ir stebėtojų tarybą vyksta įprasta tvarka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ir atsinaujinančios energijos politika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Plėtros planas skirtas daugiau atsinaujinančios energijos integruoti, ISO 45001 sauga, metinė tvarumo ataskaita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reguliuojama perdavimo įmonė.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tvarumo ataskaita pagal ESRS, nuo 2025 m. ir 3 apimties emisijos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Perdirbama beveik 100 % atliekų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Perdavimo tinklas yra būtinas atsinaujinančios energijos plėtrai.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AST - Interim financial statements 12M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11-12,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Nasdaq Baltic - AST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AST - Condensed interim financial statements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AST - Condensed interim financial statements 6M 2026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AST - Condensed interim financial statements 6M 2026 (unaudited), p.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AST - Interim financial statements 12M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AST - Interim financial statements 12M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11,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15-16,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3">
        <w:r>
          <w:rPr>
            <w:color w:val="2A78D6"/>
            <w:sz w:val="17"/>
          </w:rPr>
          <w:t xml:space="preserve">AST - Interim financial statements 12M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AST - Condensed interim financial statements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AST - Annual report 2025 (sustainability report and audited financial statements), p.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AST - Interim financial statements 12M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6">
        <w:r>
          <w:rPr>
            <w:color w:val="2A78D6"/>
            <w:sz w:val="17"/>
          </w:rPr>
          <w:t xml:space="preserve">Nasdaq Baltic - AST 0.5% green bond LV0000802528,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7">
        <w:r>
          <w:rPr>
            <w:color w:val="2A78D6"/>
            <w:sz w:val="17"/>
          </w:rPr>
          <w:t xml:space="preserve">AST - Condensed interim financial statements 6M 2026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AST - Condensed interim financial statements 6M 2026 (unaudited),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AST - Condensed interim financial statements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0">
        <w:r>
          <w:rPr>
            <w:color w:val="2A78D6"/>
            <w:sz w:val="17"/>
          </w:rPr>
          <w:t xml:space="preserve">AST - Condensed interim financial statements 6M 2026 (unaudited), p. 5,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1">
        <w:r>
          <w:rPr>
            <w:color w:val="2A78D6"/>
            <w:sz w:val="17"/>
          </w:rPr>
          <w:t xml:space="preserve">AST - Annual report 2025 (sustainability report and audited financial statements), p. 18,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AST - Condensed interim financial statements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2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8-9, 15, 2026-04-24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1">
        <w:r>
          <w:rPr>
            <w:color w:val="2A78D6"/>
            <w:sz w:val="17"/>
          </w:rPr>
          <w:t xml:space="preserve">AST - Annual report 2025 (sustainability report and audited financial statements), p. 8, 24, 2026-04-24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Augstsprieguma tīkls (AST)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Augstsprieguma tīkls (AST)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st/2025_q4_en_con.pdf#page=14" TargetMode="External"/><Relationship Id="rId13" Type="http://schemas.openxmlformats.org/officeDocument/2006/relationships/hyperlink" Target="https://nasdaqbaltic.com/market/upload/reports/ast/2026_q2_en_con.pdf#page=11" TargetMode="External"/><Relationship Id="rId14" Type="http://schemas.openxmlformats.org/officeDocument/2006/relationships/hyperlink" Target="https://nasdaqbaltic.com/statistics/en/instrument/LV0000802528/report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st/2026_q2_en_con.pdf#page=3" TargetMode="External"/><Relationship Id="rId17" Type="http://schemas.openxmlformats.org/officeDocument/2006/relationships/hyperlink" Target="https://nasdaqbaltic.com/market/upload/reports/ast/2026_q2_en_con.pdf#page=4" TargetMode="External"/><Relationship Id="rId18" Type="http://schemas.openxmlformats.org/officeDocument/2006/relationships/hyperlink" Target="https://nasdaqbaltic.com/market/upload/reports/ast/2025_q4_en_con.pdf#page=13" TargetMode="External"/><Relationship Id="rId19" Type="http://schemas.openxmlformats.org/officeDocument/2006/relationships/hyperlink" Target="https://nasdaqbaltic.com/market/upload/reports/ast/2025_q4_en_con.pdf#page=5" TargetMode="External"/><Relationship Id="rId20" Type="http://schemas.openxmlformats.org/officeDocument/2006/relationships/image" Target="media/image2.png"/><Relationship Id="rId21" Type="http://schemas.openxmlformats.org/officeDocument/2006/relationships/hyperlink" Target="https://nasdaqbaltic.com/market/upload/reports/ast/2025_ar_en_con.pdf#page=8" TargetMode="External"/><Relationship Id="rId22" Type="http://schemas.openxmlformats.org/officeDocument/2006/relationships/hyperlink" Target="https://nasdaqbaltic.com/market/upload/reports/ast/2025_ar_en_con.pdf#page=15" TargetMode="External"/><Relationship Id="rId23" Type="http://schemas.openxmlformats.org/officeDocument/2006/relationships/hyperlink" Target="https://nasdaqbaltic.com/market/upload/reports/ast/2025_q4_en_con.pdf#page=8" TargetMode="External"/><Relationship Id="rId24" Type="http://schemas.openxmlformats.org/officeDocument/2006/relationships/hyperlink" Target="https://nasdaqbaltic.com/market/upload/reports/ast/2026_q2_en_con.pdf#page=22" TargetMode="External"/><Relationship Id="rId25" Type="http://schemas.openxmlformats.org/officeDocument/2006/relationships/hyperlink" Target="https://nasdaqbaltic.com/market/upload/reports/ast/2025_q4_en_con.pdf#page=7" TargetMode="External"/><Relationship Id="rId26" Type="http://schemas.openxmlformats.org/officeDocument/2006/relationships/hyperlink" Target="https://nasdaqbaltic.com/statistics/en/instrument/LV0000802528/security?date=2026-10-19" TargetMode="External"/><Relationship Id="rId27" Type="http://schemas.openxmlformats.org/officeDocument/2006/relationships/hyperlink" Target="https://nasdaqbaltic.com/market/upload/reports/ast/2026_q2_en_con.pdf#page=8" TargetMode="External"/><Relationship Id="rId28" Type="http://schemas.openxmlformats.org/officeDocument/2006/relationships/hyperlink" Target="https://nasdaqbaltic.com/market/upload/reports/ast/2026_q2_en_con.pdf#page=9" TargetMode="External"/><Relationship Id="rId29" Type="http://schemas.openxmlformats.org/officeDocument/2006/relationships/hyperlink" Target="https://nasdaqbaltic.com/market/upload/reports/ast/2026_q2_en_con.pdf#page=6" TargetMode="External"/><Relationship Id="rId30" Type="http://schemas.openxmlformats.org/officeDocument/2006/relationships/hyperlink" Target="https://nasdaqbaltic.com/market/upload/reports/ast/2026_q2_en_con.pdf#page=5" TargetMode="External"/><Relationship Id="rId31" Type="http://schemas.openxmlformats.org/officeDocument/2006/relationships/hyperlink" Target="https://nasdaqbaltic.com/market/upload/reports/ast/2025_ar_en_con.pdf#page=18" TargetMode="External"/><Relationship Id="rId32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