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Bank (Baltic universal bank; LV, LT, EE;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7.125%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3.875%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(own calculation)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(own calculation)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 narrowing:</w:t>
      </w:r>
      <w:r>
        <w:rPr>
          <w:b w:val="0"/>
        </w:rPr>
        <w:t xml:space="preserve"> net interest income EUR 89.5m (flat), NIM 3.7% (3.8%) due to lower average Euribor, offset by loan growth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+5% on consulting, IT and communications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Macro:</w:t>
      </w:r>
      <w:r>
        <w:rPr>
          <w:b w:val="0"/>
        </w:rPr>
        <w:t xml:space="preserve"> the ECB raised the deposit rate by 25 bp to 2.25% in June; markets do not exclude further hikes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GDP forecasts: Latvia 1.8%, Lithuania 2.9%, Estonia 2.2%; Lithuanian inflation 5.8%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higher-for-longer interest rates will continue to shape the Baltic outlook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