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Energy utility (networks, renewables, flexibility,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share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2.000%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1.875%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2.000%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Credit quality is stable: BBB+ / Baa1 ratings and leverage of 3.49x, inside the 3-4x target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is weaker, but the 2026 guidance was kept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The held bond XS1646530565 is subject to the issuer's tender offer of 2026-10-19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1,925.3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Free cash flow,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22.2%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revenue EUR 1,497.5m (+15.4%), EBITDA EUR 303.5m (262.5m), net profit EUR 113.2m (111.4m)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EUR 251.4m (+11.3%), free cash flow EUR 5.3m (64.0m); investments EUR 306.1m (343.2m, −10.8%)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306.6m; guidance reiterated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306.1m (44-52% of the range)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YE2025: 21.0%; 30 Jun 2026 (LTM): 22.2%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3.49x;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EUR 1.366 (+3.0%); H1 2026: EUR 0.704 (+3.1%)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2.1 GW installed, 0.7 GW under construction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2.1 GW installed + 0.7 GW under construction = 2.8 GW, the bottom of the target range (own calculation)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winter cut both ways:</w:t>
      </w:r>
      <w:r>
        <w:rPr>
          <w:b w:val="0"/>
        </w:rPr>
        <w:t xml:space="preserve"> Customers &amp; Solutions EBITDA rose significantly on higher volumes in the cold winter and one-off gas wholesale deals in Q1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but Green Capacities EBITDA fell 10% to EUR 149m on lower captured price and volume – the hedge price fell from EUR 130 to 82/MWh and wind speeds were very low in the cold winter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Balancing market maturing:</w:t>
      </w:r>
      <w:r>
        <w:rPr>
          <w:b w:val="0"/>
        </w:rPr>
        <w:t xml:space="preserve"> Reserve Capacities EBITDA fell 38% on lower balancing-capacity results as the market becomes more competitive, plus a planned overhaul of Elektrėnai Unit 7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Regulation:</w:t>
      </w:r>
      <w:r>
        <w:rPr>
          <w:b w:val="0"/>
        </w:rPr>
        <w:t xml:space="preserve"> under the new prosumer law, from 2027-01-01 the tariff will be funded by prosumers (up to EUR 0.01/kWh) and other consumers (up to EUR 0.003/kWh)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the CFO expects this to cover about 60-70% of current losses (prosumer EBITDA was about EUR -30m last year)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Guidance unchanged:</w:t>
      </w:r>
      <w:r>
        <w:rPr>
          <w:b w:val="0"/>
        </w:rPr>
        <w:t xml:space="preserve"> 2026 Adjusted EBITDA EUR 550-600m, investments EUR 590-690m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bond and tender:</w:t>
      </w:r>
      <w:r>
        <w:rPr>
          <w:b w:val="0"/>
        </w:rPr>
        <w:t xml:space="preserve"> on 2026-10-19 the group announced its first European Green Bond (EuGB) issue and a tender offer for the notes due 2027-07-14; on 2026-10-20/21 the press reported the EUR 300m 5-year bond was priced at a 4.500% coupon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Offshore wind:</w:t>
      </w:r>
      <w:r>
        <w:rPr>
          <w:b w:val="0"/>
        </w:rPr>
        <w:t xml:space="preserve"> on 2026-10-22 the press widely reported that the group proposes to postpone the Baltic offshore wind project (Curonian Nord) as costs rose 27% (a project of about EUR 3bn)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the final candidate for Chair of the Management Board and CEO was approved (2026-09-23); a board member for Energy Markets and Commerce was selected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86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Ignitis Grupe Prices EUR300 Million European Green Bond</w:t>
              </w:r>
            </w:hyperlink>
            <w:r>
              <w:rPr>
                <w:b w:val="0"/>
                <w:color w:val="667085"/>
                <w:sz w:val="15"/>
              </w:rPr>
              <w:t xml:space="preserve">   www.marketscreener.com  ·  10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Selection announced for a member of the Management Board of “Ignitis grupė” responsible for Energy Markets and Commerce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Approved the final candidate for the position of Chair of the Management Board and Chief Executive Officer of AB “Ignitis grupė”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11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667085"/>
                <w:sz w:val="15"/>
              </w:rPr>
              <w:t xml:space="preserve">   IntelliNews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7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667085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generation and no oil &amp; gas exploration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Owns the gas-fired Elektrėnai complex (reserve capacity) and supplies gas - not restricted by the SEB fossil fuel policy (restricts coal &gt;5% of revenue and new exploration).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 (UNGC / OECD breaches)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states it upholds the UN Global Compact principles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in the automatic news scan (Lithuanian, Latvian, 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86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Core activities are green generation (2.1 GW installed, 0.6 GW under construction) and power networks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and a new EU Green Bond Standard (EuGB) bond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capex 84.7% in 2025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targets in line with 1.5°C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Net zero by 2050 or sooner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No material yellow flag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related controversies found.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To note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contractor employee was fatally injured in February 2026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rose 54.7% in 2025 due to higher gas generation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Safety is managed under ISO 45001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policy, since green generation and networks make up more than 15% of revenue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and the Fossil Fuels policy for gas distribution, gas supply and the Elektrėnai reserve plants.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gas revenue share was not found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Requirements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1-3 emissions disclosed (4.49m t CO2e in 2025) and SBTi-validated 1.5°C targets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environmental management at ESO, Ignitis gamyba, Ignitis and the Vilnius and Kaunas CHPs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coal, peat or oil &amp; gas extraction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Expectations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safety management, no fatal accidents in 2025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Trust line for anonymous reports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Anti-corruption policy and ISO 37001 certification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Global Compact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Integrated annual report with climate data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Biodiversity monitoring and mitigation measures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named human rights due diligence process or quantified biodiversity targets are published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company meets SEB policy expectations and has no red flags.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Total GHG emissions 4.49m t CO2e in 2025 (+10.1%)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Carbon intensity (Scope 1+2) 214 g CO2e/kWh in Q1 2026 (−12.8%)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capex 84.7%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1.5°C targets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Strong green profile: 84.7% Taxonomy-aligned capex and SBTi-validated targets. Worth watching: higher gas generation in 2025 and contractor safety.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2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5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6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7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8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59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57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0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4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1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6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7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48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49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50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1" Type="http://schemas.openxmlformats.org/officeDocument/2006/relationships/hyperlink" Target="https://ignitisgrupe.lt/sites/default/files/public/inline-files/Integrated%20Annual%20Report%202025.pdf#page=10" TargetMode="External"/><Relationship Id="rId52" Type="http://schemas.openxmlformats.org/officeDocument/2006/relationships/hyperlink" Target="https://ignitisgrupe.lt/tvarumo-valdymas/politikos-ir-sertifikatai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webapp.sebgroup.com/mb/mblib.nsf/dld/60D2454400789893C12587D70030AFC1?opendocument" TargetMode="External"/><Relationship Id="rId55" Type="http://schemas.openxmlformats.org/officeDocument/2006/relationships/hyperlink" Target="https://ignitisgrupe.lt/sites/default/files/public/inline-files/Integrated%20Annual%20Report%202025.pdf#page=24" TargetMode="External"/><Relationship Id="rId56" Type="http://schemas.openxmlformats.org/officeDocument/2006/relationships/hyperlink" Target="https://webapp.sebgroup.com/mb/mblib.nsf/dld/80AF6A2E5F88CDC2C12586B1002E33C2?opendocument" TargetMode="External"/><Relationship Id="rId57" Type="http://schemas.openxmlformats.org/officeDocument/2006/relationships/hyperlink" Target="https://ignitisgrupe.lt/sites/default/files/public/inline-files/Integrated%20Annual%20Report%202025.pdf#page=8" TargetMode="External"/><Relationship Id="rId58" Type="http://schemas.openxmlformats.org/officeDocument/2006/relationships/hyperlink" Target="https://ignitisgrupe.lt/sites/default/files/public/inline-files/Integrated%20Annual%20Report%202025.pdf#page=16" TargetMode="External"/><Relationship Id="rId59" Type="http://schemas.openxmlformats.org/officeDocument/2006/relationships/hyperlink" Target="https://ignitisgrupe.lt/tvarumo-prioritetai/verslo-etika" TargetMode="External"/><Relationship Id="rId60" Type="http://schemas.openxmlformats.org/officeDocument/2006/relationships/hyperlink" Target="https://ignitisgrupe.lt/tvarumo-prioritetai/gamta" TargetMode="External"/><Relationship Id="rId61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