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40"/>
              </w:rPr>
              <w:t>Valstybės investicinis kapitalas (VIK)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Lithuania · State investment company (defence industry, energy, Business Support Fund)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Fitch A+ on the EUR 400m bond programme, linked to Lithuania's rating through the state guarantee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Lithuania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Valst. inv. kap. 2.826% 5Y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LT0000406613  ·  2.826% · 2027-06-30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Valst. inv. kap. 3.119% 4Y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LT0000135436  ·  3.119% · 2029-09-24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VIK is 100% state-owned and Fitch rates its bond programme A+, linked to the state guarantee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1H profit EUR 7.1m, equity ratio 70% (own calculation)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Total assets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169.4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7.4 %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118.9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10.2 %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70.1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11.1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7.13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9,012.5 %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State defence investor:</w:t>
      </w:r>
      <w:r>
        <w:rPr>
          <w:b w:val="0"/>
        </w:rPr>
        <w:t xml:space="preserve"> VIK finances Lithuania's defence industry and other strategic sectors; its main project is the Rheinmetall ammunition plant in Baisogala (VIK investment up to EUR 71.05m)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Rating upgraded:</w:t>
      </w:r>
      <w:r>
        <w:rPr>
          <w:b w:val="0"/>
        </w:rPr>
        <w:t xml:space="preserve"> Fitch rates the bond programme A+, the highest so far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Cash returning from the Business Support Fund:</w:t>
      </w:r>
      <w:r>
        <w:rPr>
          <w:b w:val="0"/>
        </w:rPr>
        <w:t xml:space="preserve"> EUR 120.5m (60%) of the EUR 200m returned so far, the rest by mid-2028; another EUR 22m received on 2026-07-02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Debt falling:</w:t>
      </w:r>
      <w:r>
        <w:rPr>
          <w:b w:val="0"/>
        </w:rPr>
        <w:t xml:space="preserve"> EUR 75m of the EUR 125m of bonds issued has already been redeemed</w:t>
      </w:r>
      <w:hyperlink r:id="rId16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LT0000406613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Valst. inv. kap. 2.826% 5Y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2.826%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2027-06-30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Senior; listed 2022-07-04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LT0000135436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Valst. inv. kap. 3.119% 4Y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3.119%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2029-09-24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Defence bond under the EUR 400m programme (Fitch A+); proceeds to the Rheinmetall project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208.4*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162.3*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182.9*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169.4*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7.4 %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108.0*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111.7*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107.9*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118.9*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10.2 %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51.8%ᶜ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68.9%ᶜ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59.0%ᶜ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70.1%ᶜ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11.1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8.14*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3.76*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-0.08*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7.13*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7.21 EURm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_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In 2025 VIK bought 49% of EPSO-G Invest (EUR 36.3m), which owns 48% of Rheinmetall Defence Lietuva; plant construction started on 2025-11-04</w:t>
      </w:r>
      <w:hyperlink r:id="rId16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In 2026 a memorandum was signed with Rheinmetall Landsysteme and KNDS Deutschland on a ~EUR 50m maintenance centre in the Kaunas FEZ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In February 2026 the shareholder decided to transfer VIK's shares to the state-controlled ILTE (Government approval needed)</w:t>
      </w:r>
      <w:hyperlink r:id="rId22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Total assets EUR 169.4m, equity EUR 118.9m; 1H profit EUR 7.1m, mainly from an EUR 8.0m fair value gain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profit EUR 3.8m (2024:</w:t>
      </w:r>
      <w:r>
        <w:rPr>
          <w:b w:val="0"/>
        </w:rPr>
        <w:t xml:space="preserve"> 8.1m); bonds outstanding at 2026-06-30 about EUR 50.6m (own calculation)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Recover the full EUR 200m Business Support Fund investment by mid-2028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120.5m (60%) returned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On track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 up to EUR 71.05m in the Rheinmetall Defence Lietuva project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36m invested in 2025; construction under way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progress; also financed by the EUR 25m defence bond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held:</w:t>
      </w:r>
      <w:r>
        <w:rPr>
          <w:b w:val="0"/>
        </w:rPr>
        <w:t xml:space="preserve"> a 2.826% bond maturing 2027-06-30 (Nasdaq Vilnius since 2022-07-04) and a 3.119% defence bond, EUR 25m, issued 2025-09-24, maturing 2029-09-24, with proceeds fully allocated to the Rheinmetall project</w:t>
      </w:r>
      <w:hyperlink r:id="rId25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color w:val="2A78D6"/>
          <w:vertAlign w:val="superscript"/>
        </w:rPr>
        <w:t>,</w:t>
      </w:r>
      <w:hyperlink r:id="rId24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Credit risk close to the sovereign:</w:t>
      </w:r>
      <w:r>
        <w:rPr>
          <w:b w:val="0"/>
        </w:rPr>
        <w:t xml:space="preserve"> the bonds are backed by a state guarantee, so the Fitch A+ rating is linked to Lithuania's rating</w:t>
      </w:r>
      <w:hyperlink r:id="rId1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low risk thanks to state ownership and guarantee, falling debt and returning fund money.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Defence priority:</w:t>
      </w:r>
      <w:r>
        <w:rPr>
          <w:b w:val="0"/>
        </w:rPr>
        <w:t xml:space="preserve"> given the changed geopolitical situation, investment priority goes to defence and security</w:t>
      </w:r>
      <w:hyperlink r:id="rId15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; VIK may invest up to EUR 71.05m in Rheinmetall Defence Lietuva</w:t>
      </w:r>
      <w:hyperlink r:id="rId26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from revaluation:</w:t>
      </w:r>
      <w:r>
        <w:rPr>
          <w:b w:val="0"/>
        </w:rPr>
        <w:t xml:space="preserve"> net profit EUR 7.1m (a year earlier -0.1m) due to appreciation of long-term financial assets</w:t>
      </w:r>
      <w:hyperlink r:id="rId27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Funding:</w:t>
      </w:r>
      <w:r>
        <w:rPr>
          <w:b w:val="0"/>
        </w:rPr>
        <w:t xml:space="preserve"> Fitch rated the bond programme A+, the highest so far; the Government set a 2026 borrowing limit of EUR 153m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; by mid-2028 PVF returns and bond redemption proceeds will be an important funding source</w:t>
      </w:r>
      <w:hyperlink r:id="rId17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3.43%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LT), 2026-07-25 – 2026-10-23: 2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8">
              <w:r>
                <w:rPr>
                  <w:color w:val="1B2430"/>
                  <w:sz w:val="18"/>
                </w:rPr>
                <w:t xml:space="preserve">bendrovei UAB „Valstybės investicinis kapitalas“ numatomas išskirtinis vaidmuo skatinant kapitalo rinkas bei mobilizuojant investicijas gynybos sektoriuje</w:t>
              </w:r>
            </w:hyperlink>
            <w:r>
              <w:rPr>
                <w:b w:val="0"/>
                <w:color w:val="667085"/>
                <w:sz w:val="15"/>
              </w:rPr>
              <w:t xml:space="preserve">   Lietuvos Respublikos Vyriausybė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9">
              <w:r>
                <w:rPr>
                  <w:color w:val="1B2430"/>
                  <w:sz w:val="18"/>
                </w:rPr>
                <w:t xml:space="preserve">„Valstybės investicinis kapitalas“ nebus prijungtas prie ILTE</w:t>
              </w:r>
            </w:hyperlink>
            <w:r>
              <w:rPr>
                <w:b w:val="0"/>
                <w:color w:val="667085"/>
                <w:sz w:val="15"/>
              </w:rPr>
              <w:t xml:space="preserve">   15min.lt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controversial or nuclear weapons.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VIK invests in conventional defence industry (the Rheinmetall ammunition plant in Lithuania)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SEB Arms and Defence policy only restricts controversial weapons, nuclear weapons outside NATO, civilian semi-automatic arms and unlicensed trade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2026-07-25 – 2026-10-23: 2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VIK states that sustainability is not a primary objective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priority is defence and security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climate or taxonomy targets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procurement through CPO LT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Nasdaq Vilnius corporate governance code is applied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 xml:space="preserve"> and the Arms and Defence policy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Investments in licensed defence production in a NATO country, with no controversial or nuclear weapons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Corporate governance code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public ESG policy found.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a state company with a clear defence mandate.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VIK has no premises or property, so its direct environmental impact is small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key PAI indicator for the fund is weapons exposure: conventional weapons only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Invests in conventional defence industry (allowed under SEB policy); sustainability is not a priority.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Arms and Defence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VIK - Interim report 6M 2026 (unaudited), p. 10, 17-18,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VIK - Interim report 6M 2026 (unaudited), p. 9-10, 17-18,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VIK - Interim report 6M 2026 (unaudited), p. 20-21,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VIK - Interim report 6M 2026 (unaudited), p. 4,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VIK - Annual report 2025 (audited), p. 5,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2">
        <w:r>
          <w:rPr>
            <w:color w:val="2A78D6"/>
            <w:sz w:val="17"/>
          </w:rPr>
          <w:t xml:space="preserve">VIK - Interim report 6M 2026 (unaudited), p.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VIK - Interim report 6M 2026 (unaudited), p. 8,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VIK - Annual report 2025 (audited),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6">
        <w:r>
          <w:rPr>
            <w:color w:val="2A78D6"/>
            <w:sz w:val="17"/>
          </w:rPr>
          <w:t xml:space="preserve">VIK - Annual report 2025 (audited), p. 5,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VIK - Interim report 6M 2025, p. 3, 2025-08-25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VIK - Annual report 2025 (audited),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14">
        <w:r>
          <w:rPr>
            <w:color w:val="2A78D6"/>
            <w:sz w:val="17"/>
          </w:rPr>
          <w:t xml:space="preserve">VIK - Interim report 6M 2026 (unaudited), p. 20,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6">
        <w:r>
          <w:rPr>
            <w:color w:val="2A78D6"/>
            <w:sz w:val="17"/>
          </w:rPr>
          <w:t xml:space="preserve">VIK - Annual report 2025 (audited), p. 5, 8-9,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VIK - Annual report 2025 (audited),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VIK - Interim report 6M 2025, p. 5, 2025-08-25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7">
        <w:r>
          <w:rPr>
            <w:color w:val="2A78D6"/>
            <w:sz w:val="17"/>
          </w:rPr>
          <w:t xml:space="preserve">VIK - Interim report 6M 2026 (unaudited),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4">
        <w:r>
          <w:rPr>
            <w:color w:val="2A78D6"/>
            <w:sz w:val="17"/>
          </w:rPr>
          <w:t xml:space="preserve">VIK - Interim report 6M 2026 (unaudited),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5">
        <w:r>
          <w:rPr>
            <w:color w:val="2A78D6"/>
            <w:sz w:val="17"/>
          </w:rPr>
          <w:t xml:space="preserve">VIK - Annual report 2025 (audited), p. 11,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17">
        <w:r>
          <w:rPr>
            <w:color w:val="2A78D6"/>
            <w:sz w:val="17"/>
          </w:rPr>
          <w:t xml:space="preserve">VIK - Interim report 6M 2026 (unaudited), p. 8, 17-18,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15">
        <w:r>
          <w:rPr>
            <w:color w:val="2A78D6"/>
            <w:sz w:val="17"/>
          </w:rPr>
          <w:t xml:space="preserve">VIK - Interim report 6M 2026 (unaudited),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6">
        <w:r>
          <w:rPr>
            <w:color w:val="2A78D6"/>
            <w:sz w:val="17"/>
          </w:rPr>
          <w:t xml:space="preserve">VIK - Interim report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7">
        <w:r>
          <w:rPr>
            <w:color w:val="2A78D6"/>
            <w:sz w:val="17"/>
          </w:rPr>
          <w:t xml:space="preserve">VIK - Interim report 6M 2026 (unaudited), p. 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SEB Arms and Defence sector policy (2026-04-23), p. 5,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1">
        <w:r>
          <w:rPr>
            <w:color w:val="2A78D6"/>
            <w:sz w:val="17"/>
          </w:rPr>
          <w:t xml:space="preserve">VIK - Interim report 6M 2026 (unaudited), p. 13-14,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2">
        <w:r>
          <w:rPr>
            <w:color w:val="2A78D6"/>
            <w:sz w:val="17"/>
          </w:rPr>
          <w:t xml:space="preserve">VIK - Interim report 6M 2026 (unaudited),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3">
        <w:r>
          <w:rPr>
            <w:color w:val="2A78D6"/>
            <w:sz w:val="17"/>
          </w:rPr>
          <w:t xml:space="preserve">VIK - Interim report 6M 2026 (unaudited), p. 35,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0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4">
        <w:r>
          <w:rPr>
            <w:color w:val="2A78D6"/>
            <w:sz w:val="17"/>
          </w:rPr>
          <w:t xml:space="preserve">VIK - Annual report 2025 (audited), p. 8,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Valstybės investicinis kapitalas (VIK)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Valstybės investicinis kapitalas (VIK)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Valstybės investicinis kapitalas (VIK)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vika/2026_q2_en_esef.pdf#page=10" TargetMode="External"/><Relationship Id="rId13" Type="http://schemas.openxmlformats.org/officeDocument/2006/relationships/hyperlink" Target="https://nasdaqbaltic.com/market/upload/reports/vika/2026_q2_en_esef.pdf#page=9" TargetMode="External"/><Relationship Id="rId14" Type="http://schemas.openxmlformats.org/officeDocument/2006/relationships/hyperlink" Target="https://nasdaqbaltic.com/market/upload/reports/vika/2026_q2_en_esef.pdf#page=20" TargetMode="External"/><Relationship Id="rId15" Type="http://schemas.openxmlformats.org/officeDocument/2006/relationships/hyperlink" Target="https://nasdaqbaltic.com/market/upload/reports/vika/2026_q2_en_esef.pdf#page=4" TargetMode="External"/><Relationship Id="rId16" Type="http://schemas.openxmlformats.org/officeDocument/2006/relationships/hyperlink" Target="https://nasdaqbaltic.com/market/upload/reports/vika/2025_ar_en_esef.pdf#page=5" TargetMode="External"/><Relationship Id="rId17" Type="http://schemas.openxmlformats.org/officeDocument/2006/relationships/hyperlink" Target="https://nasdaqbaltic.com/market/upload/reports/vika/2026_q2_en_esef.pdf#page=8" TargetMode="External"/><Relationship Id="rId18" Type="http://schemas.openxmlformats.org/officeDocument/2006/relationships/hyperlink" Target="https://nasdaqbaltic.com/market/upload/reports/vika/2025_ar_en_esef.pdf#page=7" TargetMode="External"/><Relationship Id="rId19" Type="http://schemas.openxmlformats.org/officeDocument/2006/relationships/hyperlink" Target="https://nasdaqbaltic.com/market/upload/reports/vika/2025_q2_en_con.pdf#page=3" TargetMode="External"/><Relationship Id="rId20" Type="http://schemas.openxmlformats.org/officeDocument/2006/relationships/hyperlink" Target="https://nasdaqbaltic.com/market/upload/reports/vika/2025_ar_en_esef.pdf#page=22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nasdaqbaltic.com/market/upload/reports/vika/2025_ar_en_esef.pdf#page=14" TargetMode="External"/><Relationship Id="rId23" Type="http://schemas.openxmlformats.org/officeDocument/2006/relationships/hyperlink" Target="https://nasdaqbaltic.com/market/upload/reports/vika/2025_q2_en_con.pdf#page=5" TargetMode="External"/><Relationship Id="rId24" Type="http://schemas.openxmlformats.org/officeDocument/2006/relationships/hyperlink" Target="https://nasdaqbaltic.com/market/upload/reports/vika/2026_q2_en_esef.pdf#page=17" TargetMode="External"/><Relationship Id="rId25" Type="http://schemas.openxmlformats.org/officeDocument/2006/relationships/hyperlink" Target="https://nasdaqbaltic.com/market/upload/reports/vika/2025_ar_en_esef.pdf#page=11" TargetMode="External"/><Relationship Id="rId26" Type="http://schemas.openxmlformats.org/officeDocument/2006/relationships/hyperlink" Target="https://nasdaqbaltic.com/market/upload/reports/vika/2026_q2_en_esef.pdf#page=6" TargetMode="External"/><Relationship Id="rId27" Type="http://schemas.openxmlformats.org/officeDocument/2006/relationships/hyperlink" Target="https://nasdaqbaltic.com/market/upload/reports/vika/2026_q2_en_esef.pdf#page=21" TargetMode="External"/><Relationship Id="rId28" Type="http://schemas.openxmlformats.org/officeDocument/2006/relationships/hyperlink" Target="https://news.google.com/rss/articles/CBMiuAJBVV95cUxNYlhuaGpJMk9Od0lWNTRnZUFSSEZsQXd4eUIxT1d0U05aX2tZbnhMaWRPRXJRSlM3Ykp0OE9lS0VCeWJMaTlWQlR3aEd2QUpCbUtXZWpFRUo0Ul9kWFJHb2lYWmJtVGxubWR5TWtOelBCUzU5czF5d1NrMTk2UGYzQnNuVU1KcDNwVERRcG1Lc2JpZVlFN3EtTGRON09JMkhBYzRPQzd4MkVIQm1NUW9RTkVOVVBONld2Z2FsOWllc2Y0WEJ5dDNXdW9xcXBMdTl2dUV0SnM1R1lmemxVekFPWDlYaHFIZXNJT3o2YlBId3JjSnV6TFdZSUNlNzR4NmhQMzVPa29LLXYtdnNVSS12N3l6clVlenVENlFuekpSRzVYMDZ5T3dxR1NERWJnSnBNUklJZkx1SkY?oc=5" TargetMode="External"/><Relationship Id="rId29" Type="http://schemas.openxmlformats.org/officeDocument/2006/relationships/hyperlink" Target="https://news.google.com/rss/articles/CBMiugFBVV95cUxNcnNrWmpNZ1ZaRVh5Ym45UWpkaUYybjJKX0ZFQkJhZnBJb192cXNFdXNaT0NHVTI1eWhqWGxsNjJxUGV0azc2am9vTFRJLXZ2V1BzX241N0ZqSTB0Sl9ISmhLUjE3ZGRnY183MFVYYVhpR1BFeXJOaDlncWh5V1ZLa09HdkpPcVh4TWxacXBCajkwdDhMbE0xbVZrNXYzdEV0V0o5a3JWUlB0eGp2UlItcUR2LVlaSVEtUHc?oc=5" TargetMode="External"/><Relationship Id="rId30" Type="http://schemas.openxmlformats.org/officeDocument/2006/relationships/hyperlink" Target="https://sebgroup.com/sustainability/our-sustainability-strategy/policies" TargetMode="External"/><Relationship Id="rId31" Type="http://schemas.openxmlformats.org/officeDocument/2006/relationships/hyperlink" Target="https://nasdaqbaltic.com/market/upload/reports/vika/2026_q2_en_esef.pdf#page=13" TargetMode="External"/><Relationship Id="rId32" Type="http://schemas.openxmlformats.org/officeDocument/2006/relationships/hyperlink" Target="https://nasdaqbaltic.com/market/upload/reports/vika/2026_q2_en_esef.pdf#page=14" TargetMode="External"/><Relationship Id="rId33" Type="http://schemas.openxmlformats.org/officeDocument/2006/relationships/hyperlink" Target="https://nasdaqbaltic.com/market/upload/reports/vika/2026_q2_en_esef.pdf#page=35" TargetMode="External"/><Relationship Id="rId34" Type="http://schemas.openxmlformats.org/officeDocument/2006/relationships/hyperlink" Target="https://nasdaqbaltic.com/market/upload/reports/vika/2025_ar_en_esef.pdf#page=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