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19.6 %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(Lithuanian, Latvian, Estonian and English media, last 30 days,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No material yellow flag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related controversies found.</w:t>
      </w:r>
    </w:p>
    <w:p>
      <w:pPr>
        <w:spacing w:after="0"/>
        <w:ind w:left="397"/>
      </w:pPr>
      <w:r>
        <w:rPr>
          <w:b/>
          <w:color w:val="333333"/>
          <w:sz w:val="19"/>
        </w:rPr>
        <w:t>To note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contractor employee was fatally injured in February 2026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Safety is managed under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named human rights due diligence process or quantified biodiversity targets are published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company meets SEB policy expectations and has no red flags.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Total GHG emissions 4.49m t CO2e in 2025 (+10.1%)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1.5°C targets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Strong green profile: 84.7% Taxonomy-aligned capex and SBTi-validated targets. Worth watching: higher gas generation in 2025 and contractor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