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F4E79"/>
          <w:sz w:val="48"/>
        </w:rPr>
        <w:t>Luminor Bank</w:t>
      </w:r>
    </w:p>
    <w:p>
      <w:r>
        <w:rPr>
          <w:color w:val="5F6B7A"/>
          <w:sz w:val="24"/>
        </w:rPr>
        <w:t>Emitento apžvalga · 1H2026</w:t>
      </w:r>
    </w:p>
    <w:p>
      <w:pPr>
        <w:spacing w:after="0"/>
      </w:pPr>
      <w:r>
        <w:rPr>
          <w:b/>
          <w:sz w:val="19"/>
        </w:rPr>
        <w:t xml:space="preserve">Analizės data: </w:t>
      </w:r>
      <w:r>
        <w:rPr>
          <w:b w:val="0"/>
          <w:sz w:val="19"/>
        </w:rPr>
        <w:t>2026-10-22</w:t>
      </w:r>
    </w:p>
    <w:p>
      <w:pPr>
        <w:spacing w:after="0"/>
      </w:pPr>
      <w:r>
        <w:rPr>
          <w:b/>
          <w:sz w:val="19"/>
        </w:rPr>
        <w:t xml:space="preserve">Reitingas: </w:t>
      </w:r>
      <w:r>
        <w:rPr>
          <w:b w:val="0"/>
          <w:sz w:val="19"/>
        </w:rPr>
        <w:t>Moody's - affirmed after the OTP announcement (grade to be confirmed; 2025 annual report refers to 'current A2 rating')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  <w:r>
        <w:rPr>
          <w:color w:val="2A78D6"/>
          <w:vertAlign w:val="superscript"/>
        </w:rPr>
        <w:t>,</w:t>
      </w:r>
      <w:hyperlink r:id="rId11">
        <w:r>
          <w:rPr>
            <w:color w:val="2A78D6"/>
            <w:vertAlign w:val="superscript"/>
            <w:sz w:val="16"/>
          </w:rPr>
          <w:t xml:space="preserve">2</w:t>
        </w:r>
      </w:hyperlink>
    </w:p>
    <w:p>
      <w:pPr>
        <w:spacing w:after="0"/>
      </w:pPr>
      <w:r>
        <w:rPr>
          <w:b/>
          <w:sz w:val="19"/>
        </w:rPr>
        <w:t xml:space="preserve">Kita ataskaita: </w:t>
      </w:r>
      <w:r>
        <w:rPr>
          <w:b w:val="0"/>
          <w:sz w:val="19"/>
        </w:rPr>
        <w:t>3Q 2026 interim report - expected November 2026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638"/>
            <w:shd w:val="clear" w:color="auto" w:fill="E3F3E8"/>
          </w:tcPr>
          <w:p>
            <w:pPr>
              <w:spacing w:before="60" w:after="60"/>
            </w:pPr>
            <w:r>
              <w:rPr>
                <w:b/>
                <w:color w:val="1A1A1A"/>
                <w:sz w:val="21"/>
              </w:rPr>
              <w:t>Pozicija tvarkinga.</w:t>
            </w:r>
            <w:r>
              <w:rPr>
                <w:b w:val="0"/>
                <w:color w:val="1A1A1A"/>
                <w:sz w:val="21"/>
              </w:rPr>
              <w:t xml:space="preserve"> Kapitalas ir likvidumas gerokai viršija reikalavimus, o Moody's po OTP Bank sandorio paskelbimo reitingą paliko</w:t>
            </w:r>
            <w:hyperlink r:id="rId10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A1A1A"/>
                <w:sz w:val="21"/>
              </w:rPr>
              <w:t>. Pelnas sumažėjo maždaug penktadaliu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A1A1A"/>
                <w:sz w:val="21"/>
              </w:rPr>
              <w:t>. 7,75 % obligacija XS2633112565 išpirkta 2026 m. birželį ir nebėra apyvartoje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FFFFFF"/>
          <w:left w:val="nil"/>
          <w:bottom w:val="single" w:sz="4" w:color="FFFFFF"/>
          <w:right w:val="nil"/>
          <w:insideH w:val="single" w:sz="4" w:color="FFFFFF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Grynasis pelnas (2Q2026)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37,4 mln. EUR</w:t>
            </w:r>
          </w:p>
          <w:p>
            <w:r>
              <w:rPr>
                <w:color w:val="5F6B7A"/>
                <w:sz w:val="16"/>
              </w:rPr>
              <w:t>▼ 19,0 % vs 2Q2025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ROE (1H2026)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7,7 %</w:t>
            </w:r>
          </w:p>
          <w:p>
            <w:r>
              <w:rPr>
                <w:color w:val="5F6B7A"/>
                <w:sz w:val="16"/>
              </w:rPr>
              <w:t>▼ 0,9 p. p. vs FY2025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CET1 rodiklis (1H2026)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19,6 %</w:t>
            </w:r>
          </w:p>
          <w:p>
            <w:r>
              <w:rPr>
                <w:color w:val="5F6B7A"/>
                <w:sz w:val="16"/>
              </w:rPr>
              <w:t>▼ 1 p. p. vs 1H2025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LCR (1H2026)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187,0 %</w:t>
            </w:r>
          </w:p>
          <w:p>
            <w:r>
              <w:rPr>
                <w:color w:val="5F6B7A"/>
                <w:sz w:val="16"/>
              </w:rPr>
              <w:t>▲ 23,7 p. p. vs 1H2025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Trumpa santrauka</w:t>
      </w:r>
    </w:p>
    <w:p>
      <w:pPr>
        <w:pStyle w:val="ListBullet"/>
        <w:spacing w:after="60"/>
      </w:pPr>
      <w:r>
        <w:rPr>
          <w:b/>
        </w:rPr>
        <w:t>Pelnas sumažėjo maždaug penktadaliu:</w:t>
      </w:r>
      <w:r>
        <w:rPr>
          <w:b w:val="0"/>
        </w:rPr>
        <w:t xml:space="preserve"> 2026 m. I pusm. grynasis pelnas 72,0 mln. EUR, prieš metus – 91,6 mln.; vien II ketv. – 37,4 mln. EUR (46,2 mln.). Nuosavo kapitalo grąža 7,7 %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Kapitalas ir likvidumas gerokai viršija reikalavimus:</w:t>
      </w:r>
      <w:r>
        <w:rPr>
          <w:b w:val="0"/>
        </w:rPr>
        <w:t xml:space="preserve"> CET1 19,6 %, bendras kapitalas 23,7 %. MREL 36,34 % TREA, kai reikalaujama 23,69 % plius buferiai. Likvidumas: LCR 187,0 %, NSFR 142,3 %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Keičiasi savininkas:</w:t>
      </w:r>
      <w:r>
        <w:rPr>
          <w:b w:val="0"/>
        </w:rPr>
        <w:t xml:space="preserve"> 2026-07-20 paskelbta, kad OTP Bank įsigis 100 % Luminor iš Blackstone konsorciumo ir DNB. Laukiama priežiūros institucijų leidimų. Moody's reitingą ir perspektyvą paliko</w:t>
      </w:r>
      <w:hyperlink r:id="rId15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Dalis kapitalo bus grąžinta:</w:t>
      </w:r>
      <w:r>
        <w:rPr>
          <w:b w:val="0"/>
        </w:rPr>
        <w:t xml:space="preserve"> 2026-07-17 ECB leido sumažinti CET1 kapitalą 200,0 mln. EUR; tikimasi IV ketv.</w:t>
      </w:r>
      <w:hyperlink r:id="rId15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Pigesnis finansavimas:</w:t>
      </w:r>
      <w:r>
        <w:rPr>
          <w:b w:val="0"/>
        </w:rPr>
        <w:t xml:space="preserve"> grąžinta 300 mln. EUR pirmaeilė obligacija (MS+4,471 %) ir išleista pirmoji 500 mln. EUR senior non-preferred obligacija (MS+1,28 %)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Turimos priemonės ir ISIN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ISIN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Priemonė</w:t>
            </w:r>
          </w:p>
        </w:tc>
        <w:tc>
          <w:tcPr>
            <w:tcW w:type="dxa" w:w="96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Kuponas</w:t>
            </w:r>
          </w:p>
        </w:tc>
        <w:tc>
          <w:tcPr>
            <w:tcW w:type="dxa" w:w="1304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Išpirkimas</w:t>
            </w:r>
          </w:p>
        </w:tc>
        <w:tc>
          <w:tcPr>
            <w:tcW w:type="dxa" w:w="30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Pastaba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Pagrindiniai rodikliai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294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Rodiklis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FY2024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1H2025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1H2026</w:t>
            </w:r>
          </w:p>
        </w:tc>
        <w:tc>
          <w:tcPr>
            <w:tcW w:type="dxa" w:w="221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Pokytis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Grynasis pelnas,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202,2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157,7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91,6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72,0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21,4 % vs 1H2025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Grynosios palūkanų pajamos,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507,7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427,3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214,7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214,4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0,1 % vs 1H2025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Visos veiklos pajamos,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632,8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544,7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269,5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271,7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0,8 % vs 1H2025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Sąnaudų ir pajamų santykis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54,5 %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64,7 %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60,1 %ᶜ</w:t>
            </w:r>
          </w:p>
        </w:tc>
        <w:tc>
          <w:tcPr>
            <w:tcW w:type="dxa" w:w="1191"/>
            <w:shd w:val="clear" w:color="auto" w:fill="FDE7E5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65,5 %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▲ 5,4 p. p. vs 1H2025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ROE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11,7 %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8,6 %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DE7E5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7,7 %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Rizikos kaina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0,01 %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0,14 %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Grynoji palūkanų marža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3,33 %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2,71 %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2,84 %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2,70 %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0,14 p. p. vs 1H2025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Paskolos klientams,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10 535,4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11 491,4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10 820,5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11 903,2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10,0 % vs 1H2025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Klientų indėliai,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11 352,7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11 510,7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11 240,5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12 275,5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9,2 % vs 1H2025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CET1 rodiklis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20,1 %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20,2 %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20,6 %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19,6 %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1 p. p. vs 1H2025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Bendrasis kapitalo rodiklis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22,7 %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24,6 %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25,2 %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23,7 %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1,5 p. p. vs 1H2025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Sverto rodiklis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9,1 %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10,0 %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10,3 %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9,9 %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0,4 p. p. vs 1H2025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MREL (% TREA)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35,54 %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36,34 %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0,8 p. p. vs FY2025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LCR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205,1 %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174,6 %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163,3 %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187,0 %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23,7 p. p. vs 1H2025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NSFR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143,6 %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134,1 %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133,8 %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142,3 %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8,5 p. p. vs 1H2025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Neveiksnių paskolų dalis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1,8 %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2,0 %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1,7 %</w:t>
            </w:r>
          </w:p>
        </w:tc>
        <w:tc>
          <w:tcPr>
            <w:tcW w:type="dxa" w:w="1191"/>
            <w:shd w:val="clear" w:color="auto" w:fill="FDF1D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2,1 %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▲ 0,4 p. p. vs 1H2025</w:t>
            </w:r>
          </w:p>
        </w:tc>
      </w:tr>
    </w:tbl>
    <w:p>
      <w:r>
        <w:rPr>
          <w:i/>
          <w:color w:val="5F6B7A"/>
          <w:sz w:val="16"/>
        </w:rPr>
        <w:t>Spalvos: žalias pokytis – rodiklis gerėja, raudonas – blogėja. Paskutinio laikotarpio langelio fonas: žalias – geras lygis, geltonas – vidutinis, raudonas – silpnas (įrankio orientyrai, config/metric_rules.yaml).</w:t>
      </w:r>
    </w:p>
    <w:p>
      <w:r>
        <w:rPr>
          <w:i/>
          <w:color w:val="5F6B7A"/>
          <w:sz w:val="16"/>
        </w:rPr>
        <w:t>* – reikia patikrinti originale;  ᶜ – apskaičiuota įrankio.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uminor_l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Veiklos apžvalga</w:t>
      </w:r>
    </w:p>
    <w:p>
      <w:pPr>
        <w:pStyle w:val="ListBullet"/>
        <w:spacing w:after="60"/>
      </w:pPr>
      <w:r>
        <w:rPr>
          <w:b w:val="0"/>
        </w:rPr>
        <w:t>Paskolos klientams 11 903,2 mln. EUR (+3,6 % nuo 2025 m. pab.), indėliai 12 275,5 mln. EUR (+6,6 %; pokyčiai apskaičiuoti įrankio)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Grynosios palūkanų pajamos 1H – 214,4 mln. EUR; grynoji palūkanų marža 2,70 % (2025 m. – 2,71 %)</w:t>
      </w:r>
      <w:hyperlink r:id="rId17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color w:val="2A78D6"/>
          <w:vertAlign w:val="superscript"/>
        </w:rPr>
        <w:t>,</w:t>
      </w:r>
      <w:hyperlink r:id="rId20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Sąnaudų / pajamų santykis 65,5 % (2025 m. – 64,7 %); rizikos kaina 0,14 % (0,01 %); neveiksnios paskolos 2,1 % (2,0 %)</w:t>
      </w:r>
      <w:hyperlink r:id="rId17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1H 2026 išmokėta 74,0 mln. EUR dividendų už 2025 m.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Finansai</w:t>
      </w:r>
    </w:p>
    <w:p>
      <w:pPr>
        <w:pStyle w:val="ListBullet"/>
        <w:spacing w:after="60"/>
      </w:pPr>
      <w:r>
        <w:rPr>
          <w:b w:val="0"/>
        </w:rPr>
        <w:t>2025 m. grynasis pelnas 157,7 mln. EUR (2024 m. – 202,2 mln., −22,0 %), ROE 8,6 %, CET1 20,2 %, bendras kapitalas 24,6 %</w:t>
      </w:r>
      <w:hyperlink r:id="rId16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2025 m. duomenys II ketv. ataskaitoje perskaičiuoti:</w:t>
      </w:r>
      <w:r>
        <w:rPr>
          <w:b w:val="0"/>
        </w:rPr>
        <w:t xml:space="preserve"> grynosios palūkanų pajamos 427,3 mln. EUR (metinėje – 419,8 mln.), visos pajamos 544,7 mln. (537,2 mln.)</w:t>
      </w:r>
      <w:hyperlink r:id="rId17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color w:val="2A78D6"/>
          <w:vertAlign w:val="superscript"/>
        </w:rPr>
        <w:t>,</w:t>
      </w:r>
      <w:hyperlink r:id="rId26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Ankstesni planai ir rezultatai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Planas / tikslas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Rezultatas</w:t>
            </w:r>
          </w:p>
        </w:tc>
        <w:tc>
          <w:tcPr>
            <w:tcW w:type="dxa" w:w="3175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Kas pasikeitė ir kodėl</w:t>
            </w:r>
          </w:p>
        </w:tc>
        <w:tc>
          <w:tcPr>
            <w:tcW w:type="dxa" w:w="13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Būsena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Išleisti senior non-preferred obligacijas išlaikant dabartinį A2 reitingą (2025 m. ataskaita)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1H 2026 išleista 500 mln. EUR SNP; Moody's reitingą patvirtino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0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Įvykdyta: išleista 500 mln. EUR SNP (MS+1,28 %), o išpirkta 300 mln. EUR senior obligacija (MS+4,471 %) – finansavimas atpigo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3F3E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Sumažinti CET1 kapitalą 200,0 mln. EUR (gautas leidimas 2026-07)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Numatyta IV ketv. 2026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3175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Naujas planas: ECB leidimas gautas 2026-07-17. Kapitalas gerokai viršija reikalavimus (CET1 19,6 %), todėl perteklius grąžinamas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Savininkai: Blackstone konsorciumas (80,05 %) ir DNB (19,95 %) (2025 m. ataskaita)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2026-07-20 paskelbtas pardavimas OTP Bank (100 %), laukiama leidimų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21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Pakeista: savininkai susitarė parduoti 100 % OTP Bank; Moody's po pranešimo reitingą ir perspektyvą patvirtino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FDF1D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Pakeista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Informacija investuotojui ir išvados</w:t>
      </w:r>
    </w:p>
    <w:p>
      <w:pPr>
        <w:pStyle w:val="ListBullet"/>
        <w:spacing w:after="60"/>
      </w:pPr>
      <w:r>
        <w:rPr>
          <w:b/>
        </w:rPr>
        <w:t>Turimos priemonės:</w:t>
      </w:r>
      <w:r>
        <w:rPr>
          <w:b w:val="0"/>
        </w:rPr>
        <w:t xml:space="preserve"> dvi pirmaeilės (senior preferred) obligacijos – 4,042 % 2028 (emitento pirkimo teisė už nominalią vertę 2027-09-10) ir 3,551 % 2029 (pirkimo teisė 2028-06-12) – bei neterminuota 7,375 % obligacija</w:t>
      </w:r>
      <w:hyperlink r:id="rId28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color w:val="2A78D6"/>
          <w:vertAlign w:val="superscript"/>
        </w:rPr>
        <w:t>,</w:t>
      </w:r>
      <w:hyperlink r:id="rId29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color w:val="2A78D6"/>
          <w:vertAlign w:val="superscript"/>
        </w:rPr>
        <w:t>,</w:t>
      </w:r>
      <w:hyperlink r:id="rId30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 7,75 % 2027 obligacijos XS2633112565 pirkimo data buvo 2026-06-08, ir Luminor šią 300 mln. EUR obligaciją išpirko 2026 m. I pusm., todėl jos nebėra apyvartoje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Obligacijų turėtojams:</w:t>
      </w:r>
      <w:r>
        <w:rPr>
          <w:b w:val="0"/>
        </w:rPr>
        <w:t xml:space="preserve"> kapitalo ir MREL atsargos gerokai viršija reikalavimus, likvidumas padidėjo. 200 mln. EUR CET1 sumažinimas atsargą sumažins; bankas poveikio CET1 rodikliui šaltiniuose nenurodo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OTP sandoris:</w:t>
      </w:r>
      <w:r>
        <w:rPr>
          <w:b w:val="0"/>
        </w:rPr>
        <w:t xml:space="preserve"> po pranešimo Moody's reitingą ir perspektyvą paliko, todėl poveikio reitingui kol kas nėra</w:t>
      </w:r>
      <w:hyperlink r:id="rId10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 Abi turimas pirmaeiles obligacijas emitentas gali išpirkti už nominalią vertę 2027 ir 2028 m.</w:t>
      </w:r>
      <w:hyperlink r:id="rId28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color w:val="2A78D6"/>
          <w:vertAlign w:val="superscript"/>
        </w:rPr>
        <w:t>,</w:t>
      </w:r>
      <w:hyperlink r:id="rId29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Išvada:</w:t>
      </w:r>
      <w:r>
        <w:rPr>
          <w:b w:val="0"/>
        </w:rPr>
        <w:t xml:space="preserve"> pelningumas mažėja (pelnas −21 % per 1H), tačiau kapitalas, MREL ir likvidumas – su didelėmis atsargomis. Pagrindinis įvykis turėtojams – savininko keitimas į OTP. Stebėti: 3Q ataskaitą, OTP sandorio leidimus, kapitalo sumažinimą IV ketv.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ESG report</w:t>
      </w:r>
    </w:p>
    <w:p>
      <w:pPr>
        <w:spacing w:before="160"/>
      </w:pPr>
      <w:r>
        <w:rPr>
          <w:b/>
          <w:sz w:val="22"/>
        </w:rPr>
        <w:t>Exclusionary screening (companies)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involved in excluded sectors: controversial and nuclear weapons, tobacco, gambling and restricted sectors in fossil fuel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Bankas nevykdo veiklos išskirtuose sektoriuose.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Tvaraus NT ir atsinaujinančios energetikos paskolos auga (2025 m. – 305,4 mln.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EUR)</w:t>
      </w:r>
      <w:hyperlink r:id="rId31">
        <w:r>
          <w:rPr>
            <w:color w:val="2A78D6"/>
            <w:vertAlign w:val="superscript"/>
            <w:sz w:val="16"/>
          </w:rPr>
          <w:t xml:space="preserve">25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red flag/signal related to controversies based on UN Global Compact, OECD Guidelines for Multinational Enterprises or any other relevant principles/standards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Su JT Pasauliniu susitarimu ar OECD gairėmis susijusių ginčų viešuose šaltiniuose ir naujienose nerasta (2026-10-22).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Baudų dėl pinigų plovimo prevencijos neskelbta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Vienintelė 2025 m. priežiūros pastaba – Finantsinspektsioon nurodymas dėl bazinių mokėjimo paslaugų tvarkos</w:t>
      </w:r>
      <w:hyperlink r:id="rId32">
        <w:r>
          <w:rPr>
            <w:color w:val="2A78D6"/>
            <w:vertAlign w:val="superscript"/>
            <w:sz w:val="16"/>
          </w:rPr>
          <w:t xml:space="preserve">26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 the list of sanctions (add a screenshot)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Nerasta EU, UN, UK, US OFAC konsoliduotuose sankcijų sąrašuose (automatinė patikra 2026-10-22).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Bendravardis sąrašuose: Luminor Oy – Suomijos logistikos įmonė, susijusi su Siberica Oy (pagal ES sąrašo įrašą apie Gabriel Temin), ne Luminor Bank AS.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Bendravardis sąrašuose: Luminor Logistics – slapyvardis tame pačiame US OFAC įrašų rinkinyje kaip Luminor Oy ir Siberica Oy (logistika), ne Luminor Bank AS.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issues were not identified from adverse media checks (add a screenshot)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Automatinė naujienų paieška (paskutinės 30 d., 2026-10-22) neigiamų naujienų nerado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Dauguma naujienų – apie OTP Bank sandorį.</w:t>
      </w:r>
    </w:p>
    <w:p>
      <w:r>
        <w:rPr>
          <w:i/>
          <w:sz w:val="19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ESG integration and positive screening (positive answers imply higher allocation)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promoting environmental or social characteristics (activities, ESG policy, good ESG rating, etc)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Tvaraus NT ir atsinaujinančios energetikos paskolos 2025 m. – 305,4 mln.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EUR (2024 m. – 182,4 mln.), tikslas – 700 mln.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EUR iki 2030 m.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Žalios ar su tvarumu susietos obligacijos sudaro 7,4 % obligacijų portfelio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Sustainalytics ESG rizikos reitingas 18,4 (maža rizika)</w:t>
      </w:r>
      <w:hyperlink r:id="rId31">
        <w:r>
          <w:rPr>
            <w:color w:val="2A78D6"/>
            <w:vertAlign w:val="superscript"/>
            <w:sz w:val="16"/>
          </w:rPr>
          <w:t xml:space="preserve">25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activities of the company or it’s strategy is aligned with the taxonomy and/or Paris agreement targets (e.g. net zero commitment)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Tikslas – klimato neutralumas iki 2050 m.</w:t>
      </w:r>
      <w:hyperlink r:id="rId31">
        <w:r>
          <w:rPr>
            <w:color w:val="2A78D6"/>
            <w:vertAlign w:val="superscript"/>
            <w:sz w:val="16"/>
          </w:rPr>
          <w:t xml:space="preserve">25</w:t>
        </w:r>
      </w:hyperlink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Finansuojamos emisijos skaičiuojamos PCAF metodu</w:t>
      </w:r>
      <w:hyperlink r:id="rId33">
        <w:r>
          <w:rPr>
            <w:color w:val="2A78D6"/>
            <w:vertAlign w:val="superscript"/>
            <w:sz w:val="16"/>
          </w:rPr>
          <w:t xml:space="preserve">27</w:t>
        </w:r>
      </w:hyperlink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Žalios ar su tvarumu susietos obligacijos sudaro 7,4 % obligacijų portfelio, tikslas – 50 % iki 2030 m.</w:t>
      </w:r>
      <w:hyperlink r:id="rId31">
        <w:r>
          <w:rPr>
            <w:color w:val="2A78D6"/>
            <w:vertAlign w:val="superscript"/>
            <w:sz w:val="16"/>
          </w:rPr>
          <w:t xml:space="preserve">25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yellow flag/signal related to controversies based on UN Global Compact or any other relevant principles/standards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Geltonų signalų nerasta.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Gavus leidimus savininku taps OTP Bank (Vengrija)</w:t>
      </w:r>
      <w:hyperlink r:id="rId15">
        <w:r>
          <w:rPr>
            <w:color w:val="2A78D6"/>
            <w:vertAlign w:val="superscript"/>
            <w:sz w:val="16"/>
          </w:rPr>
          <w:t xml:space="preserve">21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fulfills the expectations from SEB thematic and sector policies</w:t>
      </w:r>
    </w:p>
    <w:p>
      <w:pPr>
        <w:spacing w:after="0"/>
        <w:ind w:left="397"/>
      </w:pPr>
      <w:r>
        <w:rPr>
          <w:b/>
          <w:color w:val="333333"/>
          <w:sz w:val="19"/>
        </w:rPr>
        <w:t>Taikoma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SEB neturi bankų sektoriaus politikos, todėl taikoma investicijų politika bei aplinkosaugos ir socialinė / žmogaus teisių politikos</w:t>
      </w:r>
      <w:hyperlink r:id="rId34">
        <w:r>
          <w:rPr>
            <w:color w:val="2A78D6"/>
            <w:vertAlign w:val="superscript"/>
            <w:sz w:val="16"/>
          </w:rPr>
          <w:t xml:space="preserve">28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Atitinka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Valdymo ar tarptautinių normų pažeidimų nerasta (greita paieška 2026-10-22)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Finansuojamos emisijos atskleidžiamos pagal PCAF (3 apimtis – 3,2 mln. t CO2e 2025 m.)</w:t>
      </w:r>
      <w:hyperlink r:id="rId33">
        <w:r>
          <w:rPr>
            <w:color w:val="2A78D6"/>
            <w:vertAlign w:val="superscript"/>
            <w:sz w:val="16"/>
          </w:rPr>
          <w:t xml:space="preserve">27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Tikslas – klimato neutralumas iki 2050 m.</w:t>
      </w:r>
      <w:hyperlink r:id="rId31">
        <w:r>
          <w:rPr>
            <w:color w:val="2A78D6"/>
            <w:vertAlign w:val="superscript"/>
            <w:sz w:val="16"/>
          </w:rPr>
          <w:t xml:space="preserve">25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Tvaraus NT ir atsinaujinančios energetikos paskolos 305,4 mln.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EUR, tikslas – 700 mln.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EUR iki 2030 m.</w:t>
      </w:r>
      <w:hyperlink r:id="rId31">
        <w:r>
          <w:rPr>
            <w:color w:val="2A78D6"/>
            <w:vertAlign w:val="superscript"/>
            <w:sz w:val="16"/>
          </w:rPr>
          <w:t xml:space="preserve">25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Sustainalytics ESG rizikos reitingas 18,4 (maža rizika)</w:t>
      </w:r>
      <w:hyperlink r:id="rId31">
        <w:r>
          <w:rPr>
            <w:color w:val="2A78D6"/>
            <w:vertAlign w:val="superscript"/>
            <w:sz w:val="16"/>
          </w:rPr>
          <w:t xml:space="preserve">25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Įsipareigojimas gerbti žmogaus teises</w:t>
      </w:r>
      <w:hyperlink r:id="rId35">
        <w:r>
          <w:rPr>
            <w:color w:val="2A78D6"/>
            <w:vertAlign w:val="superscript"/>
            <w:sz w:val="16"/>
          </w:rPr>
          <w:t xml:space="preserve">29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PPTFP ir sankcijų atitiktis</w:t>
      </w:r>
      <w:hyperlink r:id="rId35">
        <w:r>
          <w:rPr>
            <w:color w:val="2A78D6"/>
            <w:vertAlign w:val="superscript"/>
            <w:sz w:val="16"/>
          </w:rPr>
          <w:t xml:space="preserve">29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Antikorupcijos priemonės ir pranešėjų kanalai</w:t>
      </w:r>
      <w:hyperlink r:id="rId36">
        <w:r>
          <w:rPr>
            <w:color w:val="2A78D6"/>
            <w:vertAlign w:val="superscript"/>
            <w:sz w:val="16"/>
          </w:rPr>
          <w:t xml:space="preserve">30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Galėtų būti geriau</w:t>
      </w:r>
    </w:p>
    <w:p>
      <w:pPr>
        <w:spacing w:after="12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Viešo skolinimo išimčių sąrašo (anglis, nafta ir dujos, ginklai) ir narystės JT Pasauliniame susitarime nerasta.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Engagement</w:t>
      </w:r>
    </w:p>
    <w:p>
      <w:pPr>
        <w:spacing w:before="80" w:after="20"/>
      </w:pPr>
      <w:r>
        <w:rPr>
          <w:sz w:val="24"/>
        </w:rPr>
        <w:t xml:space="preserve">☐ </w:t>
      </w:r>
      <w:r>
        <w:t>Is there a need for pro-active engagement with the company?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Nereikia: kapitalas, likvidumas ir ESG praktika – tvirti.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Indicators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indicators of the company support the targets of sustainability and PAI indicators followed by the Fund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Finansuojamos emisijos (3 apimtis) 2025 m. – 3,2 mln. t CO2e, PCAF metodas</w:t>
      </w:r>
      <w:hyperlink r:id="rId33">
        <w:r>
          <w:rPr>
            <w:color w:val="2A78D6"/>
            <w:vertAlign w:val="superscript"/>
            <w:sz w:val="16"/>
          </w:rPr>
          <w:t xml:space="preserve">27</w:t>
        </w:r>
      </w:hyperlink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Moterų dalis stebėtojų taryboje – 33,3 % (tikslas 40 %)</w:t>
      </w:r>
      <w:hyperlink r:id="rId37">
        <w:r>
          <w:rPr>
            <w:color w:val="2A78D6"/>
            <w:vertAlign w:val="superscript"/>
            <w:sz w:val="16"/>
          </w:rPr>
          <w:t xml:space="preserve">31</w:t>
        </w:r>
      </w:hyperlink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Sustainalytics ESG rizikos reitingas 18,4, maža rizika</w:t>
      </w:r>
      <w:hyperlink r:id="rId31">
        <w:r>
          <w:rPr>
            <w:color w:val="2A78D6"/>
            <w:vertAlign w:val="superscript"/>
            <w:sz w:val="16"/>
          </w:rPr>
          <w:t xml:space="preserve">25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80"/>
      </w:pPr>
      <w:r>
        <w:rPr>
          <w:b/>
        </w:rPr>
        <w:t xml:space="preserve">Conclusion: </w:t>
      </w:r>
      <w:r>
        <w:rPr>
          <w:b w:val="0"/>
        </w:rPr>
        <w:t>Išimčių ir raudonų signalų nėra. Tvirta ESG praktika: matuojamos finansuojamos emisijos (PCAF), klimato neutralumo tikslas, augančios žaliosios paskolos ir mažos rizikos ESG reitingas. Savininku taps OTP Bank.</w:t>
      </w:r>
    </w:p>
    <w:p>
      <w:r>
        <w:rPr>
          <w:i/>
          <w:color w:val="5F6B7A"/>
          <w:sz w:val="16"/>
        </w:rPr>
        <w:t>Taikytos SEB politikos: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Šaltiniai</w:t>
      </w:r>
    </w:p>
    <w:p>
      <w:pPr>
        <w:spacing w:after="20"/>
        <w:ind w:left="340" w:hanging="340"/>
      </w:pPr>
      <w:r>
        <w:rPr>
          <w:sz w:val="17"/>
        </w:rPr>
        <w:t xml:space="preserve">1. </w:t>
      </w:r>
      <w:hyperlink r:id="rId10">
        <w:r>
          <w:rPr>
            <w:color w:val="2A78D6"/>
            <w:sz w:val="17"/>
          </w:rPr>
          <w:t xml:space="preserve">Luminor Bank - Interim report 2Q 2026, p. 15,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2. </w:t>
      </w:r>
      <w:hyperlink r:id="rId11">
        <w:r>
          <w:rPr>
            <w:color w:val="2A78D6"/>
            <w:sz w:val="17"/>
          </w:rPr>
          <w:t xml:space="preserve">Luminor Bank - Annual report 2025, p. 9,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3. </w:t>
      </w:r>
      <w:hyperlink r:id="rId12">
        <w:r>
          <w:rPr>
            <w:color w:val="2A78D6"/>
            <w:sz w:val="17"/>
          </w:rPr>
          <w:t xml:space="preserve">Luminor Bank - Interim report 2Q 2026, p. 5,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4. </w:t>
      </w:r>
      <w:hyperlink r:id="rId13">
        <w:r>
          <w:rPr>
            <w:color w:val="2A78D6"/>
            <w:sz w:val="17"/>
          </w:rPr>
          <w:t xml:space="preserve">Final Terms Series 11 - 7.750% notes XS2633112565, 2023-06-06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5. </w:t>
      </w:r>
      <w:hyperlink r:id="rId14">
        <w:r>
          <w:rPr>
            <w:color w:val="2A78D6"/>
            <w:sz w:val="17"/>
          </w:rPr>
          <w:t xml:space="preserve">Luminor Bank - Interim report 2Q 2026,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6. </w:t>
      </w:r>
      <w:hyperlink r:id="rId12">
        <w:r>
          <w:rPr>
            <w:color w:val="2A78D6"/>
            <w:sz w:val="17"/>
          </w:rPr>
          <w:t xml:space="preserve">Luminor Bank - Interim report 2Q 2026, p. 5, 16,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7. </w:t>
      </w:r>
      <w:hyperlink r:id="rId15">
        <w:r>
          <w:rPr>
            <w:color w:val="2A78D6"/>
            <w:sz w:val="17"/>
          </w:rPr>
          <w:t xml:space="preserve">Luminor Bank - Interim report 2Q 2026, p. 4, 15,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8. </w:t>
      </w:r>
      <w:hyperlink r:id="rId15">
        <w:r>
          <w:rPr>
            <w:color w:val="2A78D6"/>
            <w:sz w:val="17"/>
          </w:rPr>
          <w:t xml:space="preserve">Luminor Bank - Interim report 2Q 2026, p. 4, 8,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9. </w:t>
      </w:r>
      <w:hyperlink r:id="rId16">
        <w:r>
          <w:rPr>
            <w:color w:val="2A78D6"/>
            <w:sz w:val="17"/>
          </w:rPr>
          <w:t xml:space="preserve">Luminor Bank - Annual report 2025, p. 7,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10. </w:t>
      </w:r>
      <w:hyperlink r:id="rId17">
        <w:r>
          <w:rPr>
            <w:color w:val="2A78D6"/>
            <w:sz w:val="17"/>
          </w:rPr>
          <w:t xml:space="preserve">Luminor Bank - Interim report 2Q 2026, p. 16,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11. </w:t>
      </w:r>
      <w:hyperlink r:id="rId18">
        <w:r>
          <w:rPr>
            <w:color w:val="2A78D6"/>
            <w:sz w:val="17"/>
          </w:rPr>
          <w:t xml:space="preserve">Luminor Bank - Annual report 2025, p. 2,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12. </w:t>
      </w:r>
      <w:hyperlink r:id="rId19">
        <w:r>
          <w:rPr>
            <w:color w:val="2A78D6"/>
            <w:sz w:val="17"/>
          </w:rPr>
          <w:t xml:space="preserve">Luminor Bank - Interim report 2Q 2026, p. 9,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13. </w:t>
      </w:r>
      <w:hyperlink r:id="rId20">
        <w:r>
          <w:rPr>
            <w:color w:val="2A78D6"/>
            <w:sz w:val="17"/>
          </w:rPr>
          <w:t xml:space="preserve">Luminor Bank - Annual report 2025, p. 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14. </w:t>
      </w:r>
      <w:hyperlink r:id="rId21">
        <w:r>
          <w:rPr>
            <w:color w:val="2A78D6"/>
            <w:sz w:val="17"/>
          </w:rPr>
          <w:t xml:space="preserve">Luminor Bank - Interim report 2Q 2026, p. 6,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15. </w:t>
      </w:r>
      <w:hyperlink r:id="rId22">
        <w:r>
          <w:rPr>
            <w:color w:val="2A78D6"/>
            <w:sz w:val="17"/>
          </w:rPr>
          <w:t xml:space="preserve">Luminor Bank - Interim report 2Q 2026, p. 7,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16. </w:t>
      </w:r>
      <w:hyperlink r:id="rId23">
        <w:r>
          <w:rPr>
            <w:color w:val="2A78D6"/>
            <w:sz w:val="17"/>
          </w:rPr>
          <w:t xml:space="preserve">Luminor Bank - Annual report 2025, p. 10,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17. </w:t>
      </w:r>
      <w:hyperlink r:id="rId24">
        <w:r>
          <w:rPr>
            <w:color w:val="2A78D6"/>
            <w:sz w:val="17"/>
          </w:rPr>
          <w:t xml:space="preserve">Luminor Bank - Interim report 2Q 2026, p. 8,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18. </w:t>
      </w:r>
      <w:hyperlink r:id="rId16">
        <w:r>
          <w:rPr>
            <w:color w:val="2A78D6"/>
            <w:sz w:val="17"/>
          </w:rPr>
          <w:t xml:space="preserve">Luminor Bank - Annual report 2025, p. 7-8,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19. </w:t>
      </w:r>
      <w:hyperlink r:id="rId26">
        <w:r>
          <w:rPr>
            <w:color w:val="2A78D6"/>
            <w:sz w:val="17"/>
          </w:rPr>
          <w:t xml:space="preserve">Luminor Bank - Annual report 2025,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20. </w:t>
      </w:r>
      <w:hyperlink r:id="rId27">
        <w:r>
          <w:rPr>
            <w:color w:val="2A78D6"/>
            <w:sz w:val="17"/>
          </w:rPr>
          <w:t xml:space="preserve">Luminor Bank - Annual report 2025, p. 5,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21. </w:t>
      </w:r>
      <w:hyperlink r:id="rId15">
        <w:r>
          <w:rPr>
            <w:color w:val="2A78D6"/>
            <w:sz w:val="17"/>
          </w:rPr>
          <w:t xml:space="preserve">Luminor Bank - Interim report 2Q 2026, p. 4,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22. </w:t>
      </w:r>
      <w:hyperlink r:id="rId28">
        <w:r>
          <w:rPr>
            <w:color w:val="2A78D6"/>
            <w:sz w:val="17"/>
          </w:rPr>
          <w:t xml:space="preserve">Final Terms Series 13 - 4.042% notes XS2888497067, 2024-09-06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23. </w:t>
      </w:r>
      <w:hyperlink r:id="rId29">
        <w:r>
          <w:rPr>
            <w:color w:val="2A78D6"/>
            <w:sz w:val="17"/>
          </w:rPr>
          <w:t xml:space="preserve">Final Terms Series 15 - 3.551% notes XS3079969104, 2025-06-10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24. </w:t>
      </w:r>
      <w:hyperlink r:id="rId30">
        <w:r>
          <w:rPr>
            <w:color w:val="2A78D6"/>
            <w:sz w:val="17"/>
          </w:rPr>
          <w:t xml:space="preserve">Luminor - Primary placements (bond list), 2026-09-28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25. </w:t>
      </w:r>
      <w:hyperlink r:id="rId31">
        <w:r>
          <w:rPr>
            <w:color w:val="2A78D6"/>
            <w:sz w:val="17"/>
          </w:rPr>
          <w:t xml:space="preserve">Luminor Bank - Annual report 2025, p. 19,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26. </w:t>
      </w:r>
      <w:hyperlink r:id="rId32">
        <w:r>
          <w:rPr>
            <w:color w:val="2A78D6"/>
            <w:sz w:val="17"/>
          </w:rPr>
          <w:t xml:space="preserve">Luminor Bank - Annual report 2025, p. 16,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27. </w:t>
      </w:r>
      <w:hyperlink r:id="rId33">
        <w:r>
          <w:rPr>
            <w:color w:val="2A78D6"/>
            <w:sz w:val="17"/>
          </w:rPr>
          <w:t xml:space="preserve">Luminor Bank - Annual report 2025, p. 22,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28. </w:t>
      </w:r>
      <w:hyperlink r:id="rId34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29. </w:t>
      </w:r>
      <w:hyperlink r:id="rId35">
        <w:r>
          <w:rPr>
            <w:color w:val="2A78D6"/>
            <w:sz w:val="17"/>
          </w:rPr>
          <w:t xml:space="preserve">Luminor Bank - Annual report 2025, p. 18,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30. </w:t>
      </w:r>
      <w:hyperlink r:id="rId36">
        <w:r>
          <w:rPr>
            <w:color w:val="2A78D6"/>
            <w:sz w:val="17"/>
          </w:rPr>
          <w:t xml:space="preserve">Luminor Bank - Annual report 2025, p. 23, 28,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31. </w:t>
      </w:r>
      <w:hyperlink r:id="rId37">
        <w:r>
          <w:rPr>
            <w:color w:val="2A78D6"/>
            <w:sz w:val="17"/>
          </w:rPr>
          <w:t xml:space="preserve">Luminor Bank - Annual report 2025, p. 29, 2026</w:t>
        </w:r>
      </w:hyperlink>
    </w:p>
    <w:p>
      <w:r>
        <w:rPr>
          <w:i/>
          <w:color w:val="5F6B7A"/>
          <w:sz w:val="16"/>
        </w:rPr>
        <w:t>Ataskaita parengta automatiškai iš viešų šaltinių. Skaičiai pateikiami taip, kaip juos skelbia emitentas; nuorodos [S#] veda į šaltinių sąrašą. Prieš naudojant sprendimui, analitikas turi peržiūrėti pažymėtus punktus.</w:t>
      </w:r>
    </w:p>
    <w:sectPr w:rsidR="00FC693F" w:rsidRPr="0006063C" w:rsidSect="00034616">
      <w:footerReference w:type="default" r:id="rId9"/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F6B7A"/>
        <w:sz w:val="16"/>
      </w:rPr>
      <w:t xml:space="preserve">Luminor Bank · 1H2026 · 2026-10-22   ·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luminor.lv/sites/default/files/docs/finansu_parskati/luminor_bank_interim_report_2q26.pdf#page=15" TargetMode="External"/><Relationship Id="rId11" Type="http://schemas.openxmlformats.org/officeDocument/2006/relationships/hyperlink" Target="https://luminor.lv/sites/default/files/docs/finansu_parskati/luminor_bank_annual_report_2025-lv.pdf#page=9" TargetMode="External"/><Relationship Id="rId12" Type="http://schemas.openxmlformats.org/officeDocument/2006/relationships/hyperlink" Target="https://luminor.lv/sites/default/files/docs/finansu_parskati/luminor_bank_interim_report_2q26.pdf#page=5" TargetMode="External"/><Relationship Id="rId13" Type="http://schemas.openxmlformats.org/officeDocument/2006/relationships/hyperlink" Target="https://luminor.ee/s3fs-public/documents/final-terms-11.pdf" TargetMode="External"/><Relationship Id="rId14" Type="http://schemas.openxmlformats.org/officeDocument/2006/relationships/hyperlink" Target="https://luminor.lv/sites/default/files/docs/finansu_parskati/luminor_bank_interim_report_2q26.pdf" TargetMode="External"/><Relationship Id="rId15" Type="http://schemas.openxmlformats.org/officeDocument/2006/relationships/hyperlink" Target="https://luminor.lv/sites/default/files/docs/finansu_parskati/luminor_bank_interim_report_2q26.pdf#page=4" TargetMode="External"/><Relationship Id="rId16" Type="http://schemas.openxmlformats.org/officeDocument/2006/relationships/hyperlink" Target="https://luminor.lv/sites/default/files/docs/finansu_parskati/luminor_bank_annual_report_2025-lv.pdf#page=7" TargetMode="External"/><Relationship Id="rId17" Type="http://schemas.openxmlformats.org/officeDocument/2006/relationships/hyperlink" Target="https://luminor.lv/sites/default/files/docs/finansu_parskati/luminor_bank_interim_report_2q26.pdf#page=16" TargetMode="External"/><Relationship Id="rId18" Type="http://schemas.openxmlformats.org/officeDocument/2006/relationships/hyperlink" Target="https://luminor.lv/sites/default/files/docs/finansu_parskati/luminor_bank_annual_report_2025-lv.pdf#page=2" TargetMode="External"/><Relationship Id="rId19" Type="http://schemas.openxmlformats.org/officeDocument/2006/relationships/hyperlink" Target="https://luminor.lv/sites/default/files/docs/finansu_parskati/luminor_bank_interim_report_2q26.pdf#page=9" TargetMode="External"/><Relationship Id="rId20" Type="http://schemas.openxmlformats.org/officeDocument/2006/relationships/hyperlink" Target="https://luminor.lv/sites/default/files/docs/finansu_parskati/luminor_bank_annual_report_2025-lv.pdf#page=8" TargetMode="External"/><Relationship Id="rId21" Type="http://schemas.openxmlformats.org/officeDocument/2006/relationships/hyperlink" Target="https://luminor.lv/sites/default/files/docs/finansu_parskati/luminor_bank_interim_report_2q26.pdf#page=6" TargetMode="External"/><Relationship Id="rId22" Type="http://schemas.openxmlformats.org/officeDocument/2006/relationships/hyperlink" Target="https://luminor.lv/sites/default/files/docs/finansu_parskati/luminor_bank_interim_report_2q26.pdf#page=7" TargetMode="External"/><Relationship Id="rId23" Type="http://schemas.openxmlformats.org/officeDocument/2006/relationships/hyperlink" Target="https://luminor.lv/sites/default/files/docs/finansu_parskati/luminor_bank_annual_report_2025-lv.pdf#page=10" TargetMode="External"/><Relationship Id="rId24" Type="http://schemas.openxmlformats.org/officeDocument/2006/relationships/hyperlink" Target="https://luminor.lv/sites/default/files/docs/finansu_parskati/luminor_bank_interim_report_2q26.pdf#page=8" TargetMode="External"/><Relationship Id="rId25" Type="http://schemas.openxmlformats.org/officeDocument/2006/relationships/image" Target="media/image1.png"/><Relationship Id="rId26" Type="http://schemas.openxmlformats.org/officeDocument/2006/relationships/hyperlink" Target="https://luminor.lv/sites/default/files/docs/finansu_parskati/luminor_bank_annual_report_2025-lv.pdf" TargetMode="External"/><Relationship Id="rId27" Type="http://schemas.openxmlformats.org/officeDocument/2006/relationships/hyperlink" Target="https://luminor.lv/sites/default/files/docs/finansu_parskati/luminor_bank_annual_report_2025-lv.pdf#page=5" TargetMode="External"/><Relationship Id="rId28" Type="http://schemas.openxmlformats.org/officeDocument/2006/relationships/hyperlink" Target="https://luminor.ee/s3fs-public/documents/final-terms-13.pdf" TargetMode="External"/><Relationship Id="rId29" Type="http://schemas.openxmlformats.org/officeDocument/2006/relationships/hyperlink" Target="https://luminor.ee/s3fs-public/documents/final-terms-15.pdf" TargetMode="External"/><Relationship Id="rId30" Type="http://schemas.openxmlformats.org/officeDocument/2006/relationships/hyperlink" Target="https://luminor.lv/en/placements" TargetMode="External"/><Relationship Id="rId31" Type="http://schemas.openxmlformats.org/officeDocument/2006/relationships/hyperlink" Target="https://luminor.lv/sites/default/files/docs/finansu_parskati/luminor_bank_annual_report_2025-lv.pdf#page=19" TargetMode="External"/><Relationship Id="rId32" Type="http://schemas.openxmlformats.org/officeDocument/2006/relationships/hyperlink" Target="https://luminor.lv/sites/default/files/docs/finansu_parskati/luminor_bank_annual_report_2025-lv.pdf#page=16" TargetMode="External"/><Relationship Id="rId33" Type="http://schemas.openxmlformats.org/officeDocument/2006/relationships/hyperlink" Target="https://luminor.lv/sites/default/files/docs/finansu_parskati/luminor_bank_annual_report_2025-lv.pdf#page=22" TargetMode="External"/><Relationship Id="rId34" Type="http://schemas.openxmlformats.org/officeDocument/2006/relationships/hyperlink" Target="https://sebgroup.com/sustainability/our-sustainability-strategy/policies" TargetMode="External"/><Relationship Id="rId35" Type="http://schemas.openxmlformats.org/officeDocument/2006/relationships/hyperlink" Target="https://luminor.lv/sites/default/files/docs/finansu_parskati/luminor_bank_annual_report_2025-lv.pdf#page=18" TargetMode="External"/><Relationship Id="rId36" Type="http://schemas.openxmlformats.org/officeDocument/2006/relationships/hyperlink" Target="https://luminor.lv/sites/default/files/docs/finansu_parskati/luminor_bank_annual_report_2025-lv.pdf#page=23" TargetMode="External"/><Relationship Id="rId37" Type="http://schemas.openxmlformats.org/officeDocument/2006/relationships/hyperlink" Target="https://luminor.lv/sites/default/files/docs/finansu_parskati/luminor_bank_annual_report_2025-lv.pdf#page=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