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Port of Tallinn</w:t>
      </w:r>
    </w:p>
    <w:p>
      <w:r>
        <w:rPr>
          <w:color w:val="5F6B7A"/>
          <w:sz w:val="24"/>
        </w:rPr>
        <w:t>Issuer review · 6M2026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No public credit rating found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Q3 2026 results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FDF1D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Worth watching.</w:t>
            </w:r>
            <w:r>
              <w:rPr>
                <w:b w:val="0"/>
                <w:color w:val="1A1A1A"/>
                <w:sz w:val="21"/>
              </w:rPr>
              <w:t xml:space="preserve"> The balance sheet is strong (net debt 2.78x EBITDA, equity 59.8% of assets)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But 6M 2026 net profit fell 41.7% on higher fuel and repair costs,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Revenue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59.3 EUR m</w:t>
            </w:r>
          </w:p>
          <w:p>
            <w:r>
              <w:rPr>
                <w:color w:val="5F6B7A"/>
                <w:sz w:val="16"/>
              </w:rPr>
              <w:t>▲ 2.4 %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Adjusted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25.8 EUR m</w:t>
            </w:r>
          </w:p>
          <w:p>
            <w:r>
              <w:rPr>
                <w:color w:val="5F6B7A"/>
                <w:sz w:val="16"/>
              </w:rPr>
              <w:t>▼ 13.4 %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6.0 EUR m</w:t>
            </w:r>
          </w:p>
          <w:p>
            <w:r>
              <w:rPr>
                <w:color w:val="5F6B7A"/>
                <w:sz w:val="16"/>
              </w:rPr>
              <w:t>▼ 41.7 %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debt / EBITDA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2.78x</w:t>
            </w:r>
          </w:p>
          <w:p>
            <w:r>
              <w:rPr>
                <w:color w:val="5F6B7A"/>
                <w:sz w:val="16"/>
              </w:rPr>
              <w:t>▲ 0.27x vs FY2025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Sales up, profit down:</w:t>
      </w:r>
      <w:r>
        <w:rPr>
          <w:b w:val="0"/>
        </w:rPr>
        <w:t xml:space="preserve"> 6M revenue grew 2.4% to EUR 59.3m, but adjusted EBITDA fell 13.5% to EUR 25.8m and net profit 41.7% to EUR 6.0m. The EBITDA margin dropped to 43.5% from 51.5%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Why:</w:t>
      </w:r>
      <w:r>
        <w:rPr>
          <w:b w:val="0"/>
        </w:rPr>
        <w:t xml:space="preserve"> the CEO names higher fuel prices and unplanned ship repairs after the ice season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Balance sheet solid:</w:t>
      </w:r>
      <w:r>
        <w:rPr>
          <w:b w:val="0"/>
        </w:rPr>
        <w:t xml:space="preserve"> net debt EUR 145.8m, or 2.78x LTM adjusted EBITDA; equity is 59.8% of assets (both ratios calculated by the tool)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above policy:</w:t>
      </w:r>
      <w:r>
        <w:rPr>
          <w:b w:val="0"/>
        </w:rPr>
        <w:t xml:space="preserve"> EUR 0.073 per share (EUR 19.2m in total), 85% of 2025 profit against a policy minimum of 70%; paid 2026-05-20</w:t>
      </w:r>
      <w:hyperlink r:id="rId11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State-owned; old court case still open:</w:t>
      </w:r>
      <w:r>
        <w:rPr>
          <w:b w:val="0"/>
        </w:rPr>
        <w:t xml:space="preserve"> Estonia holds 67.03%</w:t>
      </w:r>
      <w:hyperlink r:id="rId11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In the bribery case of former executives the court acquitted them on limitation grounds on 2024-06-27; both sides appealed and a later ruling was not found - needs review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Revenue,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119.6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57.9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2.4 %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56.5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13.4 %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Adjusted EBITDA margin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44.4%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47.6%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51.5%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43.5%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8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Operating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29.1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13.6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25.7 %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41.7 %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Investments,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38.8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33.2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12.0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70.8 %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debt, EUR m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167.6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141.7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145.8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1.5 %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debt / EBITDA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3.15xᶜ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2.51xᶜ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2.78xᶜ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0.27x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Equity ratio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61.2%ᶜ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59.3%ᶜ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59.8%ᶜ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0.5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Cargo volume, m 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13.1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13.8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6.83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6.48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5.1 %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Passengers, m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3.66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3.59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Dividend per share, EUR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0.073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• 0.0 % vs FY2024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-of-tallinn_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Cargo 6.48m t (−5.0%), mainly liquid bulk (−33.8%); passengers 3.59m (−2.0%); vessel calls −4.8%</w:t>
      </w:r>
      <w:hyperlink r:id="rId11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Cruise passengers +47.8%, cruise ship calls +29.3% (6M)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Ferries (Saaremaa, Hiiumaa):</w:t>
      </w:r>
      <w:r>
        <w:rPr>
          <w:b w:val="0"/>
        </w:rPr>
        <w:t xml:space="preserve"> Q2 trips +1.2%, passengers +1.8%; additional trips of ferry Regula agreed for summer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Icebreaker Botnica charter 130 days (110)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Segments (6M, revenue / adj. EBITDA, EURm):</w:t>
      </w:r>
      <w:r>
        <w:rPr>
          <w:b w:val="0"/>
        </w:rPr>
        <w:t xml:space="preserve"> passenger harbours 18.9 / 9.6; cargo harbours 15.8 / 7.3; ferry 18.6 / 5.9; other 5.9 / 3.1</w:t>
      </w:r>
      <w:hyperlink r:id="rId1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Risks per the report:</w:t>
      </w:r>
      <w:r>
        <w:rPr>
          <w:b w:val="0"/>
        </w:rPr>
        <w:t xml:space="preserve"> the war in Ukraine reduces liquid bulk volumes; the US-Iran conflict and Strait of Hormuz blockade raise fuel costs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FY2025:</w:t>
      </w:r>
      <w:r>
        <w:rPr>
          <w:b w:val="0"/>
        </w:rPr>
        <w:t xml:space="preserve"> revenue EUR 118.7m (−0.8%), adjusted EBITDA EUR 56.5m (+6.4%), net profit EUR 22.5m (+17.3%), investments EUR 33.2m, free cash flow EUR 50.9m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6M investments EUR 3.5m (12.0m). The 2025 comparison includes a one-off EUR 0.9m gain on the land sale for the Rail Baltica station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'The results of 2025 and the outlook for 2026 allow to continue and exceed the agreed dividend policy' (Feb 2026)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85% of profit paid (policy ≥70%)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85% payout versus the ≥70% policy. But 6M 2026 profit fell to EUR 6.0m (10.3m) on fuel and repair costs and lower liquid bulk, so next year's dividend base may be smaller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Scope 1+2 emissions −55% by 2030 (2019 base 33,086 t CO2e), climate-neutral operations by 2050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2025: 19,261 t CO2e (−41.8% vs 2019; 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Progressing: −41.8% reached by 2025; about 13 p.p. more is needed by 2030 (calculated by the tool)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Outlook (2026-08): new ro-ro and container lines, Muuga industrial park, Old City Harbour real estate tender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- assess in the next review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in the 2026-08 outlook; nothing to compare yet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 held:</w:t>
      </w:r>
      <w:r>
        <w:rPr>
          <w:b w:val="0"/>
        </w:rPr>
        <w:t xml:space="preserve"> shares (TSM1T, Nasdaq Tallinn). No bonds; borrowing is via loans (EUR 173.4m, of which 93.1m current)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 base:</w:t>
      </w:r>
      <w:r>
        <w:rPr>
          <w:b w:val="0"/>
        </w:rPr>
        <w:t xml:space="preserve"> dividends are based on prior-year profit; 6M profit EUR 6.0m (10.3m) - if the trend continues, the base for the 2027 dividend will be lower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EUR 93.1m of loans are current:</w:t>
      </w:r>
      <w:r>
        <w:rPr>
          <w:b w:val="0"/>
        </w:rPr>
        <w:t xml:space="preserve"> watch refinancing</w:t>
      </w:r>
      <w:hyperlink r:id="rId11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strong balance sheet and stable debt, but 2026 profitability is declining due to fuel and repair costs and lower liquid bulk. Watch: 9M report, the ferry service contract, the outcome of the court case.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Port operator, ferry services, icebreaker, real estate - no weapons, tobacco, gambling, coal or oil exploration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Handles liquid bulk (oil products), volumes declining (−33.8% in 6M)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bribery case from 2015 concerns former executives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company is the injured party, not a defendant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new adverse news in the automatic news scan (Estonian and English media, last 30 days, 2026-10-22).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Older coverage concerns the former executives' case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8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Voluntary 2025 sustainability report following CSRD/ESRS principles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of 90% renewable energy for own use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Climate-neutral operations by 2050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−55% by 2030 versus 2019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Progress: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current yellow flag.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former executives' case is historical (from 2015) and the company is the injured party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SEB Investments policy</w:t>
      </w:r>
      <w:hyperlink r:id="rId21">
        <w:r>
          <w:rPr>
            <w:color w:val="2A78D6"/>
            <w:vertAlign w:val="superscript"/>
            <w:sz w:val="16"/>
          </w:rPr>
          <w:t xml:space="preserve">18</w:t>
        </w:r>
      </w:hyperlink>
      <w:r>
        <w:rPr>
          <w:b w:val="0"/>
          <w:color w:val="333333"/>
          <w:sz w:val="19"/>
        </w:rPr>
        <w:t xml:space="preserve"> and the Shipping policy, because the ferry segment is 31.4% of 6M 2026 revenue, above the 15% threshold (calculated by the tool)</w:t>
      </w:r>
      <w:hyperlink r:id="rId11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19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Transportation policy does not apply (road, rail and air only)</w:t>
      </w:r>
      <w:hyperlink r:id="rId23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governance or international-norm breach by the company</w:t>
      </w:r>
      <w:hyperlink r:id="rId13">
        <w:r>
          <w:rPr>
            <w:color w:val="2A78D6"/>
            <w:vertAlign w:val="superscript"/>
            <w:sz w:val="16"/>
          </w:rPr>
          <w:t xml:space="preserve">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Annual sustainability report with climate data</w:t>
      </w:r>
      <w:hyperlink r:id="rId19">
        <w:r>
          <w:rPr>
            <w:color w:val="2A78D6"/>
            <w:vertAlign w:val="superscript"/>
            <w:sz w:val="16"/>
          </w:rPr>
          <w:t xml:space="preserve">15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by 2050 and a plan to move ferries to alternative fuels or electrification, in line with SEB's decarbonisation-plan expectation</w:t>
      </w:r>
      <w:hyperlink r:id="rId24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Liquid bulk (oil products) handling is declining, −33.8% in 6M 2026</w:t>
      </w:r>
      <w:hyperlink r:id="rId11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Public reports do not describe shipping-specific items (ship energy efficiency plans, CII ratings, ship recycling)</w:t>
      </w:r>
      <w:hyperlink r:id="rId22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or human rights due diligence, whistleblowing and anti-corruption policies</w:t>
      </w:r>
      <w:hyperlink r:id="rId22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Scope 1+2 emissions 19,261 t CO2e in 2025, −41.8% versus 2019 (calculated by the tool)</w:t>
      </w:r>
      <w:hyperlink r:id="rId20">
        <w:r>
          <w:rPr>
            <w:color w:val="2A78D6"/>
            <w:vertAlign w:val="superscript"/>
            <w:sz w:val="16"/>
          </w:rPr>
          <w:t xml:space="preserve">17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−55% by 2030 and climate neutrality by 2050</w:t>
      </w:r>
      <w:hyperlink r:id="rId17">
        <w:r>
          <w:rPr>
            <w:color w:val="2A78D6"/>
            <w:vertAlign w:val="superscript"/>
            <w:sz w:val="16"/>
          </w:rPr>
          <w:t xml:space="preserve">16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Clear climate targets with good progress (−41.8% versus 2019). Shipping-specific disclosures could be more detailed.</w:t>
      </w:r>
    </w:p>
    <w:p>
      <w:r>
        <w:rPr>
          <w:i/>
          <w:color w:val="5F6B7A"/>
          <w:sz w:val="16"/>
        </w:rPr>
        <w:t>SEB policies applied: Policy on Sustainability Considerations in Investments (SEB AB); Shipping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Investor - stock exchange info,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AS Tallinna Sadam - Interim report Q2 and 6M 2026,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1">
        <w:r>
          <w:rPr>
            <w:color w:val="2A78D6"/>
            <w:sz w:val="17"/>
          </w:rPr>
          <w:t xml:space="preserve">AS Tallinna Sadam - Interim report Q2 and 6M 2026, p. 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2">
        <w:r>
          <w:rPr>
            <w:color w:val="2A78D6"/>
            <w:sz w:val="17"/>
          </w:rPr>
          <w:t xml:space="preserve">Stock exchange release: financial results for 2026 Q2 and 6 months,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1">
        <w:r>
          <w:rPr>
            <w:color w:val="2A78D6"/>
            <w:sz w:val="17"/>
          </w:rPr>
          <w:t xml:space="preserve">AS Tallinna Sadam - Interim report Q2 and 6M 2026, p. 14-15,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1">
        <w:r>
          <w:rPr>
            <w:color w:val="2A78D6"/>
            <w:sz w:val="17"/>
          </w:rPr>
          <w:t xml:space="preserve">AS Tallinna Sadam - Interim report Q2 and 6M 2026, p. 13,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3">
        <w:r>
          <w:rPr>
            <w:color w:val="2A78D6"/>
            <w:sz w:val="17"/>
          </w:rPr>
          <w:t xml:space="preserve">ERR: defence appeals acquittal in Tallinna Sadam case, 2024-07-24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4">
        <w:r>
          <w:rPr>
            <w:color w:val="2A78D6"/>
            <w:sz w:val="17"/>
          </w:rPr>
          <w:t xml:space="preserve">ERR: State Prosecutor appeals Tallinna Sadam ruling, 2024-07-26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5">
        <w:r>
          <w:rPr>
            <w:color w:val="2A78D6"/>
            <w:sz w:val="17"/>
          </w:rPr>
          <w:t xml:space="preserve">Results of Q4 and 12 months 2025 - webinar presentation, 2026-02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1">
        <w:r>
          <w:rPr>
            <w:color w:val="2A78D6"/>
            <w:sz w:val="17"/>
          </w:rPr>
          <w:t xml:space="preserve">AS Tallinna Sadam - Interim report Q2 and 6M 2026, p. 15,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1">
        <w:r>
          <w:rPr>
            <w:color w:val="2A78D6"/>
            <w:sz w:val="17"/>
          </w:rPr>
          <w:t xml:space="preserve">AS Tallinna Sadam - Interim report Q2 and 6M 2026, p. 14,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1">
        <w:r>
          <w:rPr>
            <w:color w:val="2A78D6"/>
            <w:sz w:val="17"/>
          </w:rPr>
          <w:t xml:space="preserve">AS Tallinna Sadam - Interim report Q2 and 6M 2026, p. 9,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7">
        <w:r>
          <w:rPr>
            <w:color w:val="2A78D6"/>
            <w:sz w:val="17"/>
          </w:rPr>
          <w:t xml:space="preserve">Sustainability Report 2025, p. 19,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8">
        <w:r>
          <w:rPr>
            <w:color w:val="2A78D6"/>
            <w:sz w:val="17"/>
          </w:rPr>
          <w:t xml:space="preserve">Q2 2026 webinar presentation, 2026-08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19">
        <w:r>
          <w:rPr>
            <w:color w:val="2A78D6"/>
            <w:sz w:val="17"/>
          </w:rPr>
          <w:t xml:space="preserve">Sustainability Report 2025,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7">
        <w:r>
          <w:rPr>
            <w:color w:val="2A78D6"/>
            <w:sz w:val="17"/>
          </w:rPr>
          <w:t xml:space="preserve">Sustainability Report 2025, p. 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0">
        <w:r>
          <w:rPr>
            <w:color w:val="2A78D6"/>
            <w:sz w:val="17"/>
          </w:rPr>
          <w:t xml:space="preserve">Sustainability Report 2025, p. 22,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1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2">
        <w:r>
          <w:rPr>
            <w:color w:val="2A78D6"/>
            <w:sz w:val="17"/>
          </w:rPr>
          <w:t xml:space="preserve">SEB Sector Policy on Shipping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3">
        <w:r>
          <w:rPr>
            <w:color w:val="2A78D6"/>
            <w:sz w:val="17"/>
          </w:rPr>
          <w:t xml:space="preserve">SEB Sector Policy on Transportation (2026-04-23), p. 4,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4">
        <w:r>
          <w:rPr>
            <w:color w:val="2A78D6"/>
            <w:sz w:val="17"/>
          </w:rPr>
          <w:t xml:space="preserve">Sustainability Report 2025, p. 18-19, 2026-04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2">
        <w:r>
          <w:rPr>
            <w:color w:val="2A78D6"/>
            <w:sz w:val="17"/>
          </w:rPr>
          <w:t xml:space="preserve">SEB Sector Policy on Shipping (2026-04-23), p. 7,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11">
        <w:r>
          <w:rPr>
            <w:color w:val="2A78D6"/>
            <w:sz w:val="17"/>
          </w:rPr>
          <w:t xml:space="preserve">AS Tallinna Sadam - Interim report Q2 and 6M 2026, p. 6, 2026-08-10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2">
        <w:r>
          <w:rPr>
            <w:color w:val="2A78D6"/>
            <w:sz w:val="17"/>
          </w:rPr>
          <w:t xml:space="preserve">SEB Sector Policy on Shipping (2026-04-23), p. 5-6,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5">
        <w:r>
          <w:rPr>
            <w:color w:val="2A78D6"/>
            <w:sz w:val="17"/>
          </w:rPr>
          <w:t xml:space="preserve">SEB Social and Human Rights Policy (2026-04-28), p. 8, 2026-04-28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Port of Tallinn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ts.ee/en/investor/stock-exchange-info/" TargetMode="External"/><Relationship Id="rId11" Type="http://schemas.openxmlformats.org/officeDocument/2006/relationships/hyperlink" Target="https://ml-eu.globenewswire.com/Resource/Download/bfd79dd4-0a64-4f1a-bf21-dcb2548a7586" TargetMode="External"/><Relationship Id="rId12" Type="http://schemas.openxmlformats.org/officeDocument/2006/relationships/hyperlink" Target="https://www.inderes.fi/en/releases/as-tallinna-sadam-financial-results-for-2026-q2-and-6-months" TargetMode="External"/><Relationship Id="rId13" Type="http://schemas.openxmlformats.org/officeDocument/2006/relationships/hyperlink" Target="https://www.err.ee/1609405501/tallinna-sadama-kaasuses-oigeksmoistetute-kaitsjad-vaidlustasid-kohtuotsuse" TargetMode="External"/><Relationship Id="rId14" Type="http://schemas.openxmlformats.org/officeDocument/2006/relationships/hyperlink" Target="https://www.err.ee/1609408312/riigiprokuratuur-vaidlustas-tallinna-sadama-kohtuotsuse" TargetMode="External"/><Relationship Id="rId15" Type="http://schemas.openxmlformats.org/officeDocument/2006/relationships/hyperlink" Target="https://www.ts.ee/wp-content/uploads/2026/02/2025-Q4-Webinar.pdf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ts.ee/wp-content/uploads/2026/04/Sustainability_Report_2025.pdf#page=19" TargetMode="External"/><Relationship Id="rId18" Type="http://schemas.openxmlformats.org/officeDocument/2006/relationships/hyperlink" Target="https://www.ts.ee/wp-content/uploads/2019/12/Q2-2026-webinar-ENG.pdf" TargetMode="External"/><Relationship Id="rId19" Type="http://schemas.openxmlformats.org/officeDocument/2006/relationships/hyperlink" Target="https://www.ts.ee/wp-content/uploads/2026/04/Sustainability_Report_2025.pdf" TargetMode="External"/><Relationship Id="rId20" Type="http://schemas.openxmlformats.org/officeDocument/2006/relationships/hyperlink" Target="https://www.ts.ee/wp-content/uploads/2026/04/Sustainability_Report_2025.pdf#page=22" TargetMode="External"/><Relationship Id="rId21" Type="http://schemas.openxmlformats.org/officeDocument/2006/relationships/hyperlink" Target="https://sebgroup.com/sustainability/our-sustainability-strategy/policies" TargetMode="External"/><Relationship Id="rId22" Type="http://schemas.openxmlformats.org/officeDocument/2006/relationships/hyperlink" Target="https://webapp.sebgroup.com/mb/mblib.nsf/dld/C882785365792AC9C12587D700312ACF?opendocument" TargetMode="External"/><Relationship Id="rId23" Type="http://schemas.openxmlformats.org/officeDocument/2006/relationships/hyperlink" Target="https://webapp.sebgroup.com/mb/mblib.nsf/dld/B1113F0C7B3136E4C12587D70030204B?opendocument" TargetMode="External"/><Relationship Id="rId24" Type="http://schemas.openxmlformats.org/officeDocument/2006/relationships/hyperlink" Target="https://www.ts.ee/wp-content/uploads/2026/04/Sustainability_Report_2025.pdf#page=18" TargetMode="External"/><Relationship Id="rId25" Type="http://schemas.openxmlformats.org/officeDocument/2006/relationships/hyperlink" Target="https://webapp.sebgroup.com/mb/mblib.nsf/dld/B6C87DACA17DDE3CC1258B5C006292E0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