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Artea bankas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(2026-04-21): long-term deposits upgraded to A3, senior unsecured Baa1 affirmed, outlook changed from stable to positive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- 2026-10-28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OK, but profit is falling.</w:t>
            </w:r>
            <w:r>
              <w:rPr>
                <w:b w:val="0"/>
                <w:color w:val="1A1A1A"/>
                <w:sz w:val="21"/>
              </w:rPr>
              <w:t xml:space="preserve"> 1H profit EUR 23.2m versus 31.9m a year ago; ROE 7.8%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Capital (21.5%) and liquidity (LCR 179%) have headroom, and Moody's upgraded the rating in April 2026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23.2 EUR m</w:t>
            </w:r>
          </w:p>
          <w:p>
            <w:r>
              <w:rPr>
                <w:color w:val="5F6B7A"/>
                <w:sz w:val="16"/>
              </w:rPr>
              <w:t>▼ 27.3 %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7.8%</w:t>
            </w:r>
          </w:p>
          <w:p>
            <w:r>
              <w:rPr>
                <w:color w:val="5F6B7A"/>
                <w:sz w:val="16"/>
              </w:rPr>
              <w:t>▼ 3.3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21.5%</w:t>
            </w:r>
          </w:p>
          <w:p>
            <w:r>
              <w:rPr>
                <w:color w:val="5F6B7A"/>
                <w:sz w:val="16"/>
              </w:rPr>
              <w:t>▲ 0.35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179%</w:t>
            </w:r>
          </w:p>
          <w:p>
            <w:r>
              <w:rPr>
                <w:color w:val="5F6B7A"/>
                <w:sz w:val="16"/>
              </w:rPr>
              <w:t>▼ 29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Good loan quality:</w:t>
      </w:r>
      <w:r>
        <w:rPr>
          <w:b w:val="0"/>
        </w:rPr>
        <w:t xml:space="preserve"> cost of risk 0.01% (0.24%), stage 3 loans 2.4% (calculated by the tool)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56.8%*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7.8%*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21.5%*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179%*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grew 8% year on year to over EUR 3.9bn; deposits EUR 4,061m (+15%)</w:t>
      </w:r>
      <w:hyperlink r:id="rId11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margin 2.4% (2.9% a year ago), falling with lower interest rates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core banking system replacement is under way; in 2025 the bank rebranded as Artea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Total capital ratio 21.5% (YE2025 21.15%), MREL 23.59% of TREA, LCR 179%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 for 2025 EUR 0.047 per share (EUR 30.4m), for 2024 EUR 0.061; a share buyback (EUR 2.6m) was completed in January 2026</w:t>
      </w:r>
      <w:hyperlink r:id="rId21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 ROE 7.8%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52.2% of 2025 profit paid as dividends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loans +8% year on year (1H)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progress; corporate loan growth is not shown separately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5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0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responsible investment regulation is published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sanctions were imposed on the bank or group companies in 2025 or Q2 2026</w:t>
      </w:r>
      <w:hyperlink r:id="rId28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(search in Lithuanian and English,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Most news is about Tesonet's share purchases and management changes.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Expanding sustainable financing is a 2026 priority</w:t>
      </w:r>
      <w:hyperlink r:id="rId26">
        <w:r>
          <w:rPr>
            <w:color w:val="2A78D6"/>
            <w:vertAlign w:val="superscript"/>
            <w:sz w:val="16"/>
          </w:rPr>
          <w:t xml:space="preserve">23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planned Artea Retrofit Fund 3 (EUR 625m) for building renovation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Committed, together with the EU, to climate neutrality by 2050 in line with the Paris Agreement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30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procedures, whistleblowing channel, supplier code of conduct, responsible investment regulation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sanctions imposed on the bank</w:t>
      </w:r>
      <w:hyperlink r:id="rId29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and interim climate targets not found publicly.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capital and loan quality are good and ESG practice is in order.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make up 77.8% of group staff</w:t>
      </w:r>
      <w:hyperlink r:id="rId31">
        <w:r>
          <w:rPr>
            <w:color w:val="2A78D6"/>
            <w:vertAlign w:val="superscript"/>
            <w:sz w:val="16"/>
          </w:rPr>
          <w:t xml:space="preserve">30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target for 2050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Included in the Bloomberg ESG Data and ESG Coverage indices</w:t>
      </w:r>
      <w:hyperlink r:id="rId21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Core ESG procedures are in place; little climate data is disclosed.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1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1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5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11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0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7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28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29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1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Artea bankas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roe1/2026_q2_en_con_esef.pdf#page=7" TargetMode="External"/><Relationship Id="rId11" Type="http://schemas.openxmlformats.org/officeDocument/2006/relationships/hyperlink" Target="https://nasdaqbaltic.com/market/upload/reports/roe1/2026_q2_en_con_esef.pdf#page=6" TargetMode="External"/><Relationship Id="rId12" Type="http://schemas.openxmlformats.org/officeDocument/2006/relationships/hyperlink" Target="https://nasdaqbaltic.com/market/upload/reports/roe1/2025_q4_en_con.pdf#page=17" TargetMode="External"/><Relationship Id="rId13" Type="http://schemas.openxmlformats.org/officeDocument/2006/relationships/hyperlink" Target="https://nasdaqbaltic.com/market/upload/reports/roe1/2025_q4_en_con.pdf#page=4" TargetMode="External"/><Relationship Id="rId14" Type="http://schemas.openxmlformats.org/officeDocument/2006/relationships/hyperlink" Target="https://nasdaqbaltic.com/market/upload/reports/roe1/2026_q2_en_con_esef.pdf#page=18" TargetMode="External"/><Relationship Id="rId15" Type="http://schemas.openxmlformats.org/officeDocument/2006/relationships/hyperlink" Target="https://nasdaqbaltic.com/market/upload/reports/roe1/2025_q4_en_con.pdf#page=7" TargetMode="External"/><Relationship Id="rId16" Type="http://schemas.openxmlformats.org/officeDocument/2006/relationships/hyperlink" Target="https://nasdaqbaltic.com/market/upload/reports/roe1/2026_q2_en_con_esef.pdf#page=23" TargetMode="External"/><Relationship Id="rId17" Type="http://schemas.openxmlformats.org/officeDocument/2006/relationships/hyperlink" Target="https://nasdaqbaltic.com/market/upload/reports/roe1/2026_q2_en_con_esef.pdf#page=24" TargetMode="External"/><Relationship Id="rId18" Type="http://schemas.openxmlformats.org/officeDocument/2006/relationships/hyperlink" Target="https://nasdaqbaltic.com/market/upload/reports/roe1/2026_q2_en_con_esef.pdf#page=16" TargetMode="External"/><Relationship Id="rId19" Type="http://schemas.openxmlformats.org/officeDocument/2006/relationships/hyperlink" Target="https://nasdaqbaltic.com/market/upload/reports/roe1/2026_q2_en_con_esef.pdf#page=17" TargetMode="External"/><Relationship Id="rId20" Type="http://schemas.openxmlformats.org/officeDocument/2006/relationships/hyperlink" Target="https://nasdaqbaltic.com/market/upload/reports/roe1/2025_q4_en_con.pdf#page=5" TargetMode="External"/><Relationship Id="rId21" Type="http://schemas.openxmlformats.org/officeDocument/2006/relationships/hyperlink" Target="https://nasdaqbaltic.com/market/upload/reports/roe1/2026_q2_en_con_esef.pdf#page=9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nasdaqbaltic.com/market/upload/reports/roe1/2025_q4_en_con.pdf#page=6" TargetMode="External"/><Relationship Id="rId24" Type="http://schemas.openxmlformats.org/officeDocument/2006/relationships/hyperlink" Target="https://cdn.artea.lt/mainweb/uploads/media/69cbc6f608b68/annual-report-2025-lt-final.pdf#page=6" TargetMode="External"/><Relationship Id="rId25" Type="http://schemas.openxmlformats.org/officeDocument/2006/relationships/hyperlink" Target="https://www.artea.lt/lt/banko-investuotojams/vertybiniai-popieriai" TargetMode="External"/><Relationship Id="rId26" Type="http://schemas.openxmlformats.org/officeDocument/2006/relationships/hyperlink" Target="https://cdn.artea.lt/mainweb/uploads/media/69cbc6f608b68/annual-report-2025-lt-final.pdf#page=8" TargetMode="External"/><Relationship Id="rId27" Type="http://schemas.openxmlformats.org/officeDocument/2006/relationships/hyperlink" Target="https://www.artea.lt/lt/apie/tvarumas/banko-tvarumo-informacija" TargetMode="External"/><Relationship Id="rId28" Type="http://schemas.openxmlformats.org/officeDocument/2006/relationships/hyperlink" Target="https://nasdaqbaltic.com/market/upload/reports/roe1/2025_q4_en_con.pdf#page=13" TargetMode="External"/><Relationship Id="rId29" Type="http://schemas.openxmlformats.org/officeDocument/2006/relationships/hyperlink" Target="https://nasdaqbaltic.com/market/upload/reports/roe1/2026_q2_en_con_esef.pdf#page=14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