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Augstsprieguma tīkls (AST)</w:t>
      </w:r>
    </w:p>
    <w:p>
      <w:r>
        <w:rPr>
          <w:color w:val="5F6B7A"/>
          <w:sz w:val="24"/>
        </w:rPr>
        <w:t>Issuer review · 6M2026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A- with a stable outlook (agency not named in the report)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9M 2026 interim report - 2026-11-30</w:t>
      </w:r>
      <w:hyperlink r:id="rId12">
        <w:r>
          <w:rPr>
            <w:color w:val="2A78D6"/>
            <w:vertAlign w:val="superscript"/>
            <w:sz w:val="16"/>
          </w:rPr>
          <w:t xml:space="preserve">3</w:t>
        </w:r>
      </w:hyperlink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AST is Latvia's 100% state-owned electricity transmission operator, rated A-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For the EUR 100m bond maturing on 2027-01-20 it holds EUR 94.7m of cash and an undrawn SEB overdraft of up to EUR 90m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61.4 EUR m</w:t>
            </w:r>
          </w:p>
          <w:p>
            <w:r>
              <w:rPr>
                <w:color w:val="5F6B7A"/>
                <w:sz w:val="16"/>
              </w:rPr>
              <w:t>▲ 22.3 %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profit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22.5 EUR m</w:t>
            </w:r>
          </w:p>
          <w:p>
            <w:r>
              <w:rPr>
                <w:color w:val="5F6B7A"/>
                <w:sz w:val="16"/>
              </w:rPr>
              <w:t>▲ 17.8 %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debt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0.93x</w:t>
            </w:r>
          </w:p>
          <w:p>
            <w:r>
              <w:rPr>
                <w:color w:val="5F6B7A"/>
                <w:sz w:val="16"/>
              </w:rPr>
              <w:t>▼ 0.39x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Equity ratio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40%</w:t>
            </w:r>
          </w:p>
          <w:p>
            <w:r>
              <w:rPr>
                <w:color w:val="5F6B7A"/>
                <w:sz w:val="16"/>
              </w:rPr>
              <w:t>▼ 1 p. p. vs 6M2025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Results improving:</w:t>
      </w:r>
      <w:r>
        <w:rPr>
          <w:b w:val="0"/>
        </w:rPr>
        <w:t xml:space="preserve"> 1H EBITDA EUR 61.4m (50.2m), margin 33% (28%); profit EUR 22.5m (19.1m)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Low debt:</w:t>
      </w:r>
      <w:r>
        <w:rPr>
          <w:b w:val="0"/>
        </w:rPr>
        <w:t xml:space="preserve"> net debt about EUR 94m, about 0.9 times annual EBITDA (calculated by the tool); equity ratio 40%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Bond redemption covered:</w:t>
      </w:r>
      <w:r>
        <w:rPr>
          <w:b w:val="0"/>
        </w:rPr>
        <w:t xml:space="preserve"> for the EUR 100m green bond due January 2027 there is an SEB overdraft of up to EUR 90m (to 2027-03-10), undrawn at 2026-06-30</w:t>
      </w:r>
      <w:hyperlink r:id="rId11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Large investments:</w:t>
      </w:r>
      <w:r>
        <w:rPr>
          <w:b w:val="0"/>
        </w:rPr>
        <w:t xml:space="preserve"> EUR 209m invested in 2025; the Development Plan 2027-2036 is EUR 1,066m, of which up to EUR 289m is EU co-financing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LV0000802528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AST 0.5% green bond 2027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0.5%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2027-01-20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Listed 2021-11-29; refinancing backed by SEB overdraft up to EUR 90m (to 2027-03-10)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Revenue,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258.6*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354.1*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177.5*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185.7*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4.6 %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108.3*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90.8*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50.2*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61.4*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22.3 %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22.7*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27.5*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19.1*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22.5*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17.8 %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Investments,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209.1*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104.6*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62.6*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40.2 %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74.2ᶜ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120.0ᶜ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134.3ᶜ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94.4ᶜ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▼ 29.7 %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 / EBITDA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0.69xᶜ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1.32xᶜ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0.93xᶜ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▼ 0.39x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641.1*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651.7*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644.9*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657.6*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2.0 %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42%*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41%*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41%*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40%*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assets,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1,529.0*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1,587.9*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1,567.7*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1,640.3*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4.6 % vs 6M2025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t_e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 w:val="0"/>
        </w:rPr>
        <w:t>AST runs Latvia's 330 kV and 110 kV transmission grid (330 kV: 17 substations, 1,727 km; 110 kV: 130 substations, 3,786 km) and owns 68.46% of Conexus Baltic Grid (gas transmission and the Inčukalns storage)</w:t>
      </w:r>
      <w:hyperlink r:id="rId18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The Baltics synchronised with Continental Europe on 2025-02-09; the balancing capacity market has run since 2025-02-04</w:t>
      </w:r>
      <w:hyperlink r:id="rId19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New three-year tariffs apply from 2026-01-01, with the average AST tariff falling by 10%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 w:val="0"/>
        </w:rPr>
        <w:t>FY2025 revenue EUR 354.1m (258.6m), EBITDA EUR 90.8m (108.3m), profit EUR 27.5m (22.7m)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Borrowings EUR 189.0m and cash EUR 94.7m at 2026-06-30; the bonds (EUR 100.2m) are now short-term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Dividends:</w:t>
      </w:r>
      <w:r>
        <w:rPr>
          <w:b w:val="0"/>
        </w:rPr>
        <w:t xml:space="preserve"> the parent company paid EUR 13.6m in 1H</w:t>
      </w:r>
      <w:hyperlink r:id="rId21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Synchronise the Baltics with Continental Europe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Done on 2025-02-09, confirmed as permanent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Done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Refinance the EUR 100m bond (maturity 2027-01-20)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Cash EUR 94.7m and an SEB overdraft of up to EUR 90m; no new issue plan in the report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Enough funds for the redemption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Development Plan 2027-2036: EUR 1,066m of investment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Submitted to the regulator (PUC) on 2026-07-30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Awaiting approval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 held:</w:t>
      </w:r>
      <w:r>
        <w:rPr>
          <w:b w:val="0"/>
        </w:rPr>
        <w:t xml:space="preserve"> a 0.5% green bond, EUR 100m, maturing 2027-01-20 (Nasdaq Riga since 2021-11-29)</w:t>
      </w:r>
      <w:hyperlink r:id="rId2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Redemption:</w:t>
      </w:r>
      <w:r>
        <w:rPr>
          <w:b w:val="0"/>
        </w:rPr>
        <w:t xml:space="preserve"> less than three months to maturity; cash (EUR 94.7m) and the undrawn EUR 90m overdraft cover the full amount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low risk thanks to state ownership, regulated business, an A- rating and secured redemption funding.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Electricity transmission and gas infrastructure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activity in excluded sectors</w:t>
      </w:r>
      <w:hyperlink r:id="rId18">
        <w:r>
          <w:rPr>
            <w:color w:val="2A78D6"/>
            <w:vertAlign w:val="superscript"/>
            <w:sz w:val="16"/>
          </w:rPr>
          <w:t xml:space="preserve">10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or OECD related controversies found.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Not found on the EU, UN, UK, US OFAC consolidated sanctions lists (automatic check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adverse news found (2026-10-22).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grid connects renewables: five new connection agreements in Q1 2026, including a 160 MW hybrid plant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New links with Estonia, Sweden and Germany planned</w:t>
      </w:r>
      <w:hyperlink r:id="rId24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6"/>
          </w:rPr>
          <w:t xml:space="preserve">18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Green bonds (2021) fund the transmission grid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SF6 equipment is being replaced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6"/>
          </w:rPr>
          <w:t xml:space="preserve">14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yellow flags found.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Board appointments follow open competitions</w:t>
      </w:r>
      <w:hyperlink r:id="rId24">
        <w:r>
          <w:rPr>
            <w:color w:val="2A78D6"/>
            <w:vertAlign w:val="superscript"/>
            <w:sz w:val="16"/>
          </w:rPr>
          <w:t xml:space="preserve">19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Electricity &amp; Renewable Energy policy</w:t>
      </w:r>
      <w:hyperlink r:id="rId26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Met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development plan integrates more renewables, ISO 45001 safety, an annual sustainability report</w:t>
      </w:r>
      <w:hyperlink r:id="rId18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need: a state-owned regulated transmission company.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 sustainability report under ESRS is published, with Scope 3 emissions from 2025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Almost 100% of waste is recycled</w:t>
      </w:r>
      <w:hyperlink r:id="rId18">
        <w:r>
          <w:rPr>
            <w:color w:val="2A78D6"/>
            <w:vertAlign w:val="superscript"/>
            <w:sz w:val="16"/>
          </w:rPr>
          <w:t xml:space="preserve">22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 The transmission grid is essential for renewable expansion.</w:t>
      </w:r>
    </w:p>
    <w:p>
      <w:r>
        <w:rPr>
          <w:i/>
          <w:color w:val="5F6B7A"/>
          <w:sz w:val="16"/>
        </w:rPr>
        <w:t>SEB policies applied: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AST - Interim financial statements 12M 2025, p. 14,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AST - Condensed interim financial statements 6M 2026 (unaudited), p. 11-12,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Nasdaq Baltic - AST reports list, 2026-10-19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AST - Condensed interim financial statements 6M 2026 (unaudited), p. 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AST - Condensed interim financial statements 6M 2026 (unaudited), p. 4, 11,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4">
        <w:r>
          <w:rPr>
            <w:color w:val="2A78D6"/>
            <w:sz w:val="17"/>
          </w:rPr>
          <w:t xml:space="preserve">AST - Condensed interim financial statements 6M 2026 (unaudited), p. 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1">
        <w:r>
          <w:rPr>
            <w:color w:val="2A78D6"/>
            <w:sz w:val="17"/>
          </w:rPr>
          <w:t xml:space="preserve">AST - Condensed interim financial statements 6M 2026 (unaudited), p. 11,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5">
        <w:r>
          <w:rPr>
            <w:color w:val="2A78D6"/>
            <w:sz w:val="17"/>
          </w:rPr>
          <w:t xml:space="preserve">AST - Interim financial statements 12M 2025, p. 13,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6">
        <w:r>
          <w:rPr>
            <w:color w:val="2A78D6"/>
            <w:sz w:val="17"/>
          </w:rPr>
          <w:t xml:space="preserve">AST - Interim financial statements 12M 2025, p. 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8">
        <w:r>
          <w:rPr>
            <w:color w:val="2A78D6"/>
            <w:sz w:val="17"/>
          </w:rPr>
          <w:t xml:space="preserve">AST - Annual report 2025 (sustainability report and audited financial statements), p. 8, 11, 2026-04-24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9">
        <w:r>
          <w:rPr>
            <w:color w:val="2A78D6"/>
            <w:sz w:val="17"/>
          </w:rPr>
          <w:t xml:space="preserve">AST - Annual report 2025 (sustainability report and audited financial statements), p. 15-16, 2026-04-24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20">
        <w:r>
          <w:rPr>
            <w:color w:val="2A78D6"/>
            <w:sz w:val="17"/>
          </w:rPr>
          <w:t xml:space="preserve">AST - Interim financial statements 12M 2025, p.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1">
        <w:r>
          <w:rPr>
            <w:color w:val="2A78D6"/>
            <w:sz w:val="17"/>
          </w:rPr>
          <w:t xml:space="preserve">AST - Condensed interim financial statements 6M 2026 (unaudited), p. 22,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19">
        <w:r>
          <w:rPr>
            <w:color w:val="2A78D6"/>
            <w:sz w:val="17"/>
          </w:rPr>
          <w:t xml:space="preserve">AST - Annual report 2025 (sustainability report and audited financial statements), p. 15, 2026-04-24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2">
        <w:r>
          <w:rPr>
            <w:color w:val="2A78D6"/>
            <w:sz w:val="17"/>
          </w:rPr>
          <w:t xml:space="preserve">AST - Interim financial statements 12M 2025, p. 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3">
        <w:r>
          <w:rPr>
            <w:color w:val="2A78D6"/>
            <w:sz w:val="17"/>
          </w:rPr>
          <w:t xml:space="preserve">Nasdaq Baltic - AST 0.5% green bond LV0000802528,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4">
        <w:r>
          <w:rPr>
            <w:color w:val="2A78D6"/>
            <w:sz w:val="17"/>
          </w:rPr>
          <w:t xml:space="preserve">AST - Condensed interim financial statements 6M 2026 (unaudited), p. 5, 11,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5">
        <w:r>
          <w:rPr>
            <w:color w:val="2A78D6"/>
            <w:sz w:val="17"/>
          </w:rPr>
          <w:t xml:space="preserve">AST - Annual report 2025 (sustainability report and audited financial statements), p. 18, 2026-04-24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4">
        <w:r>
          <w:rPr>
            <w:color w:val="2A78D6"/>
            <w:sz w:val="17"/>
          </w:rPr>
          <w:t xml:space="preserve">AST - Condensed interim financial statements 6M 2026 (unaudited), p. 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6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18">
        <w:r>
          <w:rPr>
            <w:color w:val="2A78D6"/>
            <w:sz w:val="17"/>
          </w:rPr>
          <w:t xml:space="preserve">AST - Annual report 2025 (sustainability report and audited financial statements), p. 8-9, 15, 2026-04-24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18">
        <w:r>
          <w:rPr>
            <w:color w:val="2A78D6"/>
            <w:sz w:val="17"/>
          </w:rPr>
          <w:t xml:space="preserve">AST - Annual report 2025 (sustainability report and audited financial statements), p. 8, 24, 2026-04-24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Augstsprieguma tīkls (AST)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nasdaqbaltic.com/market/upload/reports/ast/2025_q4_en_con.pdf#page=14" TargetMode="External"/><Relationship Id="rId11" Type="http://schemas.openxmlformats.org/officeDocument/2006/relationships/hyperlink" Target="https://nasdaqbaltic.com/market/upload/reports/ast/2026_q2_en_con.pdf#page=11" TargetMode="External"/><Relationship Id="rId12" Type="http://schemas.openxmlformats.org/officeDocument/2006/relationships/hyperlink" Target="https://nasdaqbaltic.com/statistics/en/instrument/LV0000802528/reports" TargetMode="External"/><Relationship Id="rId13" Type="http://schemas.openxmlformats.org/officeDocument/2006/relationships/hyperlink" Target="https://nasdaqbaltic.com/market/upload/reports/ast/2026_q2_en_con.pdf#page=3" TargetMode="External"/><Relationship Id="rId14" Type="http://schemas.openxmlformats.org/officeDocument/2006/relationships/hyperlink" Target="https://nasdaqbaltic.com/market/upload/reports/ast/2026_q2_en_con.pdf#page=4" TargetMode="External"/><Relationship Id="rId15" Type="http://schemas.openxmlformats.org/officeDocument/2006/relationships/hyperlink" Target="https://nasdaqbaltic.com/market/upload/reports/ast/2025_q4_en_con.pdf#page=13" TargetMode="External"/><Relationship Id="rId16" Type="http://schemas.openxmlformats.org/officeDocument/2006/relationships/hyperlink" Target="https://nasdaqbaltic.com/market/upload/reports/ast/2025_q4_en_con.pdf#page=5" TargetMode="External"/><Relationship Id="rId17" Type="http://schemas.openxmlformats.org/officeDocument/2006/relationships/image" Target="media/image1.png"/><Relationship Id="rId18" Type="http://schemas.openxmlformats.org/officeDocument/2006/relationships/hyperlink" Target="https://nasdaqbaltic.com/market/upload/reports/ast/2025_ar_en_con.pdf#page=8" TargetMode="External"/><Relationship Id="rId19" Type="http://schemas.openxmlformats.org/officeDocument/2006/relationships/hyperlink" Target="https://nasdaqbaltic.com/market/upload/reports/ast/2025_ar_en_con.pdf#page=15" TargetMode="External"/><Relationship Id="rId20" Type="http://schemas.openxmlformats.org/officeDocument/2006/relationships/hyperlink" Target="https://nasdaqbaltic.com/market/upload/reports/ast/2025_q4_en_con.pdf#page=8" TargetMode="External"/><Relationship Id="rId21" Type="http://schemas.openxmlformats.org/officeDocument/2006/relationships/hyperlink" Target="https://nasdaqbaltic.com/market/upload/reports/ast/2026_q2_en_con.pdf#page=22" TargetMode="External"/><Relationship Id="rId22" Type="http://schemas.openxmlformats.org/officeDocument/2006/relationships/hyperlink" Target="https://nasdaqbaltic.com/market/upload/reports/ast/2025_q4_en_con.pdf#page=7" TargetMode="External"/><Relationship Id="rId23" Type="http://schemas.openxmlformats.org/officeDocument/2006/relationships/hyperlink" Target="https://nasdaqbaltic.com/statistics/en/instrument/LV0000802528/security?date=2026-10-19" TargetMode="External"/><Relationship Id="rId24" Type="http://schemas.openxmlformats.org/officeDocument/2006/relationships/hyperlink" Target="https://nasdaqbaltic.com/market/upload/reports/ast/2026_q2_en_con.pdf#page=5" TargetMode="External"/><Relationship Id="rId25" Type="http://schemas.openxmlformats.org/officeDocument/2006/relationships/hyperlink" Target="https://nasdaqbaltic.com/market/upload/reports/ast/2025_ar_en_con.pdf#page=18" TargetMode="External"/><Relationship Id="rId26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