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1F4E79"/>
          <w:sz w:val="48"/>
        </w:rPr>
        <w:t>Coop Pank</w:t>
      </w:r>
    </w:p>
    <w:p>
      <w:r>
        <w:rPr>
          <w:color w:val="5F6B7A"/>
          <w:sz w:val="24"/>
        </w:rPr>
        <w:t>Issuer review · 9M2026</w:t>
      </w:r>
    </w:p>
    <w:p>
      <w:pPr>
        <w:spacing w:after="0"/>
      </w:pPr>
      <w:r>
        <w:rPr>
          <w:b/>
          <w:sz w:val="19"/>
        </w:rPr>
        <w:t xml:space="preserve">Analysis date: </w:t>
      </w:r>
      <w:r>
        <w:rPr>
          <w:b w:val="0"/>
          <w:sz w:val="19"/>
        </w:rPr>
        <w:t>2026-10-22</w:t>
      </w:r>
    </w:p>
    <w:p>
      <w:pPr>
        <w:spacing w:after="0"/>
      </w:pPr>
      <w:r>
        <w:rPr>
          <w:b/>
          <w:sz w:val="19"/>
        </w:rPr>
        <w:t xml:space="preserve">Rating: </w:t>
      </w:r>
      <w:r>
        <w:rPr>
          <w:b w:val="0"/>
          <w:sz w:val="19"/>
        </w:rPr>
        <w:t>Moody's Baa1 long-term deposit rating, outlook stable; BCA baa3</w:t>
      </w:r>
      <w:hyperlink r:id="rId10">
        <w:r>
          <w:rPr>
            <w:color w:val="2A78D6"/>
            <w:vertAlign w:val="superscript"/>
            <w:sz w:val="16"/>
          </w:rPr>
          <w:t xml:space="preserve">1</w:t>
        </w:r>
      </w:hyperlink>
    </w:p>
    <w:p>
      <w:pPr>
        <w:spacing w:after="0"/>
      </w:pPr>
      <w:r>
        <w:rPr>
          <w:b/>
          <w:sz w:val="19"/>
        </w:rPr>
        <w:t xml:space="preserve">Next report: </w:t>
      </w:r>
      <w:r>
        <w:rPr>
          <w:b w:val="0"/>
          <w:sz w:val="19"/>
        </w:rPr>
        <w:t>Unaudited Q4 2026 and annual results - 2027-02-18</w:t>
      </w:r>
      <w:hyperlink r:id="rId10">
        <w:r>
          <w:rPr>
            <w:color w:val="2A78D6"/>
            <w:vertAlign w:val="superscript"/>
            <w:sz w:val="16"/>
          </w:rPr>
          <w:t xml:space="preserve">1</w:t>
        </w:r>
      </w:hyperlink>
    </w:p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638"/>
            <w:shd w:val="clear" w:color="auto" w:fill="E3F3E8"/>
          </w:tcPr>
          <w:p>
            <w:pPr>
              <w:spacing w:before="60" w:after="60"/>
            </w:pPr>
            <w:r>
              <w:rPr>
                <w:b/>
                <w:color w:val="1A1A1A"/>
                <w:sz w:val="21"/>
              </w:rPr>
              <w:t>Position OK.</w:t>
            </w:r>
            <w:r>
              <w:rPr>
                <w:b w:val="0"/>
                <w:color w:val="1A1A1A"/>
                <w:sz w:val="21"/>
              </w:rPr>
              <w:t xml:space="preserve"> 9M profit EUR 25.6m (+19%, calculated by the tool), CET1 14.75%, total capital 19.86%</w:t>
            </w:r>
            <w:hyperlink r:id="rId11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A1A1A"/>
                <w:sz w:val="21"/>
              </w:rPr>
              <w:t>. To watch: on 2026-10-21 the Estonian FSA ordered improvements to governance, internal control and risk management (no fine)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A1A1A"/>
                <w:sz w:val="21"/>
              </w:rPr>
              <w:t>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FFFFFF"/>
          <w:left w:val="nil"/>
          <w:bottom w:val="single" w:sz="4" w:color="FFFFFF"/>
          <w:right w:val="nil"/>
          <w:insideH w:val="single" w:sz="4" w:color="FFFFFF"/>
          <w:insideV w:val="nil"/>
        </w:tblBorders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Net profit (9M2026)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25.6 EUR m</w:t>
            </w:r>
          </w:p>
          <w:p>
            <w:r>
              <w:rPr>
                <w:color w:val="5F6B7A"/>
                <w:sz w:val="16"/>
              </w:rPr>
              <w:t>▲ 19.1 % vs 9M2025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CET1 ratio (9M2026)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14.75%</w:t>
            </w:r>
          </w:p>
          <w:p>
            <w:r>
              <w:rPr>
                <w:color w:val="5F6B7A"/>
                <w:sz w:val="16"/>
              </w:rPr>
              <w:t>▲ 0.6 p. p. vs FY2025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Total capital ratio (9M2026)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19.86%</w:t>
            </w:r>
          </w:p>
          <w:p>
            <w:r>
              <w:rPr>
                <w:color w:val="5F6B7A"/>
                <w:sz w:val="16"/>
              </w:rPr>
              <w:t>▲ 1.32 p. p. vs FY2025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LCR (9M2026)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213.29%</w:t>
            </w:r>
          </w:p>
          <w:p>
            <w:r>
              <w:rPr>
                <w:color w:val="5F6B7A"/>
                <w:sz w:val="16"/>
              </w:rPr>
              <w:t>▲ 27.84 p. p. vs 9M2025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Quick summary</w:t>
      </w:r>
    </w:p>
    <w:p>
      <w:pPr>
        <w:pStyle w:val="ListBullet"/>
        <w:spacing w:after="60"/>
      </w:pPr>
      <w:r>
        <w:rPr>
          <w:b/>
        </w:rPr>
        <w:t>Profit up:</w:t>
      </w:r>
      <w:r>
        <w:rPr>
          <w:b w:val="0"/>
        </w:rPr>
        <w:t xml:space="preserve"> 9M net interest income EUR 63.1m (54.2m), profit EUR 25.6m (21.5m); Q3 ROE 14.6%, cost/income 52.5%</w:t>
      </w:r>
      <w:hyperlink r:id="rId11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Growth:</w:t>
      </w:r>
      <w:r>
        <w:rPr>
          <w:b w:val="0"/>
        </w:rPr>
        <w:t xml:space="preserve"> loans EUR 2.30bn (+14% year on year, calculated by the tool), deposits EUR 2.37bn</w:t>
      </w:r>
      <w:hyperlink r:id="rId13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Capital and liquidity:</w:t>
      </w:r>
      <w:r>
        <w:rPr>
          <w:b w:val="0"/>
        </w:rPr>
        <w:t xml:space="preserve"> CET1 14.75%, T1 16.72%, total 19.86%; leverage 7.88%; LCR 213%, NSFR 125%</w:t>
      </w:r>
      <w:hyperlink r:id="rId13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Supervisory precept:</w:t>
      </w:r>
      <w:r>
        <w:rPr>
          <w:b w:val="0"/>
        </w:rPr>
        <w:t xml:space="preserve"> after an inspection, on 2026-10-21 the Estonian FSA ordered improvements to governance, internal control, risk management, reporting and lending procedures; the bank agrees, deadlines in 2026-2027, no impact on reported results</w:t>
      </w:r>
      <w:hyperlink r:id="rId12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Instruments held and ISINs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70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ISIN</w:t>
            </w:r>
          </w:p>
        </w:tc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Instrument</w:t>
            </w:r>
          </w:p>
        </w:tc>
        <w:tc>
          <w:tcPr>
            <w:tcW w:type="dxa" w:w="964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Coupon</w:t>
            </w:r>
          </w:p>
        </w:tc>
        <w:tc>
          <w:tcPr>
            <w:tcW w:type="dxa" w:w="1304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Maturity</w:t>
            </w:r>
          </w:p>
        </w:tc>
        <w:tc>
          <w:tcPr>
            <w:tcW w:type="dxa" w:w="306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Note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EE3300003649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Coop Pank 12% AT1 notes (2023)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12%</w:t>
            </w:r>
          </w:p>
        </w:tc>
        <w:tc>
          <w:tcPr>
            <w:tcW w:type="dxa" w:w="1304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perpetual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Perpetual AT1; temporary write-down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Key ratios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294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Metric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FY2024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FY2025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9M2025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9M2026</w:t>
            </w:r>
          </w:p>
        </w:tc>
        <w:tc>
          <w:tcPr>
            <w:tcW w:type="dxa" w:w="221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Change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Net interest income, EUR m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77.6*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73.3*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54.2*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63.1*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16.4 % vs 9M2025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Total operating income, EUR m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81.9*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79.4*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58.4*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66.9*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14.6 % vs 9M2025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Net profit, EUR m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32.2*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28.7*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21.5*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25.6*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19.1 % vs 9M2025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Cost/income ratio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49.6%*</w:t>
            </w:r>
          </w:p>
        </w:tc>
        <w:tc>
          <w:tcPr>
            <w:tcW w:type="dxa" w:w="1191"/>
            <w:shd w:val="clear" w:color="auto" w:fill="FDF1D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52.3%*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▲ 2.7 p. p. vs FY2024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ROE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16.2%*</w:t>
            </w:r>
          </w:p>
        </w:tc>
        <w:tc>
          <w:tcPr>
            <w:tcW w:type="dxa" w:w="1191"/>
            <w:shd w:val="clear" w:color="auto" w:fill="E3F3E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12.9%*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3.3 p. p. vs FY2024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Loans to customers, EUR m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1,774*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2,114.1*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2,023.3*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2,301.4*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13.7 % vs 9M2025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Customer deposits, EUR m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1,886*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2,124.5*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1,957.9*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2,368.6*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21.0 % vs 9M2025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Total assets, EUR 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2,703.0*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2,531.9*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2,965.6*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color w:val="5F6B7A"/>
                <w:sz w:val="17"/>
              </w:rPr>
              <w:t>▲ 17.1 % vs 9M2025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Equity, EUR m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212*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234.5*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227.3*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251.6*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10.7 % vs 9M2025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CET1 ratio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14.28%*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14.15%*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FDF1D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14.75%*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0.6 p. p. vs FY2025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Total capital ratio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19.4%*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18.54%*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E3F3E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19.86%*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1.32 p. p. vs FY2025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Leverage ratio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8.08%*</w:t>
            </w:r>
          </w:p>
        </w:tc>
        <w:tc>
          <w:tcPr>
            <w:tcW w:type="dxa" w:w="1191"/>
            <w:shd w:val="clear" w:color="auto" w:fill="E3F3E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7.88%*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0.2 p. p. vs 9M2025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LCR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207%*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202%*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185.45%*</w:t>
            </w:r>
          </w:p>
        </w:tc>
        <w:tc>
          <w:tcPr>
            <w:tcW w:type="dxa" w:w="1191"/>
            <w:shd w:val="clear" w:color="auto" w:fill="E3F3E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213.29%*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27.84 p. p. vs 9M2025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NSFR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120.04%*</w:t>
            </w:r>
          </w:p>
        </w:tc>
        <w:tc>
          <w:tcPr>
            <w:tcW w:type="dxa" w:w="1191"/>
            <w:shd w:val="clear" w:color="auto" w:fill="E3F3E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125.16%*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5.12 p. p. vs 9M2025</w:t>
            </w:r>
          </w:p>
        </w:tc>
      </w:tr>
    </w:tbl>
    <w:p>
      <w:r>
        <w:rPr>
          <w:i/>
          <w:color w:val="5F6B7A"/>
          <w:sz w:val="16"/>
        </w:rPr>
        <w:t>Colours: green change – the metric is improving, red – worsening. Latest-period cell background: green – good level, amber – average, red – weak (tool benchmarks, config/metric_rules.yaml).</w:t>
      </w:r>
    </w:p>
    <w:p>
      <w:r>
        <w:rPr>
          <w:i/>
          <w:color w:val="5F6B7A"/>
          <w:sz w:val="16"/>
        </w:rPr>
        <w:t>* – taken from the report summary;  ᶜ – calculated by the tool.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op-pank_en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Business performance review</w:t>
      </w:r>
    </w:p>
    <w:p>
      <w:pPr>
        <w:pStyle w:val="ListBullet"/>
        <w:spacing w:after="60"/>
      </w:pPr>
      <w:r>
        <w:rPr>
          <w:b w:val="0"/>
        </w:rPr>
        <w:t>An Estonian bank whose strategic shareholder is Coop Eesti; Coop Investeeringud 22%, Coop cooperatives 19%, Andres Sonn 8%</w:t>
      </w:r>
      <w:hyperlink r:id="rId17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color w:val="2A78D6"/>
          <w:vertAlign w:val="superscript"/>
        </w:rPr>
        <w:t>,</w:t>
      </w:r>
      <w:hyperlink r:id="rId21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In September 2026 the EMTN programme was raised to EUR 1.5bn (adding senior unsecured and Tier 2 notes); a synthetic securitisation with the EIF was finalised in June 2026</w:t>
      </w:r>
      <w:hyperlink r:id="rId22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Financials</w:t>
      </w:r>
    </w:p>
    <w:p>
      <w:pPr>
        <w:pStyle w:val="ListBullet"/>
        <w:spacing w:after="60"/>
      </w:pPr>
      <w:r>
        <w:rPr>
          <w:b w:val="0"/>
        </w:rPr>
        <w:t>FY2025 profit EUR 28.7m (32.2m), ROE 12.9% (16.2%), cost/income 52.3% (49.6%)</w:t>
      </w:r>
      <w:hyperlink r:id="rId14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Dividends:</w:t>
      </w:r>
      <w:r>
        <w:rPr>
          <w:b w:val="0"/>
        </w:rPr>
        <w:t xml:space="preserve"> 6.5 cents a share paid in April 2026; policy is 25% of pre-tax profit</w:t>
      </w:r>
      <w:hyperlink r:id="rId14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23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Past plans vs outcomes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2493"/>
        <w:gridCol w:w="2493"/>
        <w:gridCol w:w="2493"/>
        <w:gridCol w:w="2493"/>
      </w:tblGrid>
      <w:tr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Plan / target</w:t>
            </w:r>
          </w:p>
        </w:tc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Outcome</w:t>
            </w:r>
          </w:p>
        </w:tc>
        <w:tc>
          <w:tcPr>
            <w:tcW w:type="dxa" w:w="3175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What changed and why</w:t>
            </w:r>
          </w:p>
        </w:tc>
        <w:tc>
          <w:tcPr>
            <w:tcW w:type="dxa" w:w="136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Status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By 2030: 10% loan market share, profit ≥EUR 60m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9M 2026 profit EUR 25.6m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Long-term target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AF1F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ROE ≥15%, cost/income &lt;45%</w:t>
            </w:r>
          </w:p>
        </w:tc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Q3 ROE 14.6%, cost/income 52.5%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3175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ROE near target, costs still too high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FDF1D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Partly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Implement the FSA precept (2026-2027)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New commitment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New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AF1F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In progress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Investor information &amp; conclusions</w:t>
      </w:r>
    </w:p>
    <w:p>
      <w:pPr>
        <w:pStyle w:val="ListBullet"/>
        <w:spacing w:after="60"/>
      </w:pPr>
      <w:r>
        <w:rPr>
          <w:b/>
        </w:rPr>
        <w:t>Instrument held:</w:t>
      </w:r>
      <w:r>
        <w:rPr>
          <w:b w:val="0"/>
        </w:rPr>
        <w:t xml:space="preserve"> 12% perpetual AT1 note EE3300003649, issued 2023-09-18, EUR 12m, quarterly coupon; first call date 2028-09-18; unlisted</w:t>
      </w:r>
      <w:hyperlink r:id="rId24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Terms:</w:t>
      </w:r>
      <w:r>
        <w:rPr>
          <w:b w:val="0"/>
        </w:rPr>
        <w:t xml:space="preserve"> subordinated, below deposits and Tier 2; the bank may cancel coupons at its discretion and cancelled coupons do not accumulate; principal is temporarily written down if group CET1 falls below the trigger in the Final Terms (this series' trigger level was not found)</w:t>
      </w:r>
      <w:hyperlink r:id="rId25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Headroom:</w:t>
      </w:r>
      <w:r>
        <w:rPr>
          <w:b w:val="0"/>
        </w:rPr>
        <w:t xml:space="preserve"> CET1 14.75%, well above requirements; the bank meets all capital requirements</w:t>
      </w:r>
      <w:hyperlink r:id="rId19">
        <w:r>
          <w:rPr>
            <w:color w:val="2A78D6"/>
            <w:vertAlign w:val="superscript"/>
            <w:sz w:val="17"/>
          </w:rPr>
          <w:t xml:space="preserve">20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Conclusion:</w:t>
      </w:r>
      <w:r>
        <w:rPr>
          <w:b w:val="0"/>
        </w:rPr>
        <w:t xml:space="preserve"> moderate risk – a profitable bank with good capital headroom; AT1 risk and a supervisory precept.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ESG report</w:t>
      </w:r>
    </w:p>
    <w:p>
      <w:pPr>
        <w:spacing w:before="160"/>
      </w:pPr>
      <w:r>
        <w:rPr>
          <w:b/>
          <w:sz w:val="22"/>
        </w:rPr>
        <w:t>Exclusionary screening (companies)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not involved in excluded sectors: controversial and nuclear weapons, tobacco, gambling and restricted sectors in fossil fuel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Retail and SME banking in Estonia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activity in excluded sectors</w:t>
      </w:r>
      <w:hyperlink r:id="rId17">
        <w:r>
          <w:rPr>
            <w:color w:val="2A78D6"/>
            <w:vertAlign w:val="superscript"/>
            <w:sz w:val="16"/>
          </w:rPr>
          <w:t xml:space="preserve">12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does not have red flag/signal related to controversies based on UN Global Compact, OECD Guidelines for Multinational Enterprises or any other relevant principles/standards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UN Global Compact or OECD related controversies found.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not in the list of sanctions (add a screenshot)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Not found on the EU, UN, UK, US OFAC consolidated sanctions lists (automatic check 2026-10-22).</w:t>
      </w:r>
    </w:p>
    <w:p>
      <w:pPr>
        <w:spacing w:before="80" w:after="20"/>
      </w:pPr>
      <w:r>
        <w:rPr>
          <w:sz w:val="24"/>
        </w:rPr>
        <w:t xml:space="preserve">☐ </w:t>
      </w:r>
      <w:r>
        <w:t>Yes, issues were not identified from adverse media checks (add a screenshot)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Found: on 2026-10-21 the FSA ordered improvements to governance, internal control and risk management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fine, the bank agrees</w:t>
      </w:r>
      <w:hyperlink r:id="rId12">
        <w:r>
          <w:rPr>
            <w:color w:val="2A78D6"/>
            <w:vertAlign w:val="superscript"/>
            <w:sz w:val="16"/>
          </w:rPr>
          <w:t xml:space="preserve">3</w:t>
        </w:r>
      </w:hyperlink>
      <w:r>
        <w:rPr>
          <w:b w:val="0"/>
          <w:color w:val="333333"/>
          <w:sz w:val="19"/>
        </w:rPr>
        <w:t>.</w:t>
      </w:r>
    </w:p>
    <w:p>
      <w:r>
        <w:rPr>
          <w:i/>
          <w:sz w:val="19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ESG integration and positive screening (positive answers imply higher allocation)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promoting environmental or social characteristics (activities, ESG policy, good ESG rating, etc)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Finances solar and wind projects (81.3 MW)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An ESG policy is approved</w:t>
      </w:r>
      <w:hyperlink r:id="rId26">
        <w:r>
          <w:rPr>
            <w:color w:val="2A78D6"/>
            <w:vertAlign w:val="superscript"/>
            <w:sz w:val="16"/>
          </w:rPr>
          <w:t xml:space="preserve">21</w:t>
        </w:r>
      </w:hyperlink>
      <w:r>
        <w:rPr>
          <w:color w:val="2A78D6"/>
          <w:vertAlign w:val="superscript"/>
        </w:rPr>
        <w:t>,</w:t>
      </w:r>
      <w:hyperlink r:id="rId12">
        <w:r>
          <w:rPr>
            <w:color w:val="2A78D6"/>
            <w:vertAlign w:val="superscript"/>
            <w:sz w:val="16"/>
          </w:rPr>
          <w:t xml:space="preserve">3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activities of the company or it’s strategy is aligned with the taxonomy and/or Paris agreement targets (e.g. net zero commitment)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A sustainability report is published (2025)</w:t>
      </w:r>
      <w:hyperlink r:id="rId14">
        <w:r>
          <w:rPr>
            <w:color w:val="2A78D6"/>
            <w:vertAlign w:val="superscript"/>
            <w:sz w:val="16"/>
          </w:rPr>
          <w:t xml:space="preserve">7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☐ </w:t>
      </w:r>
      <w:r>
        <w:t>Yes, the company does not have yellow flag/signal related to controversies based on UN Global Compact or any other relevant principles/standards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Yellow flag: a supervisory precept on governance and internal control</w:t>
      </w:r>
      <w:hyperlink r:id="rId12">
        <w:r>
          <w:rPr>
            <w:color w:val="2A78D6"/>
            <w:vertAlign w:val="superscript"/>
            <w:sz w:val="16"/>
          </w:rPr>
          <w:t xml:space="preserve">3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fulfills the expectations from SEB thematic and sector policies</w:t>
      </w:r>
    </w:p>
    <w:p>
      <w:pPr>
        <w:spacing w:after="0"/>
        <w:ind w:left="397"/>
      </w:pPr>
      <w:r>
        <w:rPr>
          <w:b/>
          <w:color w:val="333333"/>
          <w:sz w:val="19"/>
        </w:rPr>
        <w:t>Applicable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The Investments policy</w:t>
      </w:r>
      <w:hyperlink r:id="rId27">
        <w:r>
          <w:rPr>
            <w:color w:val="2A78D6"/>
            <w:vertAlign w:val="superscript"/>
            <w:sz w:val="16"/>
          </w:rPr>
          <w:t xml:space="preserve">22</w:t>
        </w:r>
      </w:hyperlink>
      <w:r>
        <w:rPr>
          <w:b w:val="0"/>
          <w:color w:val="333333"/>
          <w:sz w:val="19"/>
        </w:rPr>
        <w:t>.</w:t>
      </w:r>
    </w:p>
    <w:p>
      <w:pPr>
        <w:spacing w:after="0"/>
        <w:ind w:left="397"/>
      </w:pPr>
      <w:r>
        <w:rPr>
          <w:b/>
          <w:color w:val="333333"/>
          <w:sz w:val="19"/>
        </w:rPr>
        <w:t>Met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A regulated EU bank with an ESG policy and a sustainability report</w:t>
      </w:r>
      <w:hyperlink r:id="rId12">
        <w:r>
          <w:rPr>
            <w:color w:val="2A78D6"/>
            <w:vertAlign w:val="superscript"/>
            <w:sz w:val="16"/>
          </w:rPr>
          <w:t xml:space="preserve">3</w:t>
        </w:r>
      </w:hyperlink>
      <w:r>
        <w:rPr>
          <w:color w:val="2A78D6"/>
          <w:vertAlign w:val="superscript"/>
        </w:rPr>
        <w:t>,</w:t>
      </w:r>
      <w:hyperlink r:id="rId14">
        <w:r>
          <w:rPr>
            <w:color w:val="2A78D6"/>
            <w:vertAlign w:val="superscript"/>
            <w:sz w:val="16"/>
          </w:rPr>
          <w:t xml:space="preserve">7</w:t>
        </w:r>
      </w:hyperlink>
      <w:r>
        <w:rPr>
          <w:b w:val="0"/>
          <w:color w:val="333333"/>
          <w:sz w:val="19"/>
        </w:rPr>
        <w:t>.</w:t>
      </w:r>
    </w:p>
    <w:p>
      <w:pPr>
        <w:spacing w:after="0"/>
        <w:ind w:left="397"/>
      </w:pPr>
      <w:r>
        <w:rPr>
          <w:b/>
          <w:color w:val="333333"/>
          <w:sz w:val="19"/>
        </w:rPr>
        <w:t>Could be improved</w:t>
      </w:r>
    </w:p>
    <w:p>
      <w:pPr>
        <w:spacing w:after="12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Financed emissions are not disclosed</w:t>
      </w:r>
      <w:hyperlink r:id="rId26">
        <w:r>
          <w:rPr>
            <w:color w:val="2A78D6"/>
            <w:vertAlign w:val="superscript"/>
            <w:sz w:val="16"/>
          </w:rPr>
          <w:t xml:space="preserve">21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Engagement</w:t>
      </w:r>
    </w:p>
    <w:p>
      <w:pPr>
        <w:spacing w:before="80" w:after="20"/>
      </w:pPr>
      <w:r>
        <w:rPr>
          <w:sz w:val="24"/>
        </w:rPr>
        <w:t xml:space="preserve">☐ </w:t>
      </w:r>
      <w:r>
        <w:t>Is there a need for pro-active engagement with the company?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need: the precept is supervised by the FSA.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Indicators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indicators of the company support the targets of sustainability and PAI indicators followed by the Fund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Renewable energy financing is reported (81.3 MW, about 3.8% of the corporate portfolio)</w:t>
      </w:r>
      <w:hyperlink r:id="rId26">
        <w:r>
          <w:rPr>
            <w:color w:val="2A78D6"/>
            <w:vertAlign w:val="superscript"/>
            <w:sz w:val="16"/>
          </w:rPr>
          <w:t xml:space="preserve">21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80"/>
      </w:pPr>
      <w:r>
        <w:rPr>
          <w:b/>
        </w:rPr>
        <w:t xml:space="preserve">Conclusion: </w:t>
      </w:r>
      <w:r>
        <w:rPr>
          <w:b w:val="0"/>
        </w:rPr>
        <w:t>No exclusions or red flags. Yellow flag – a supervisory precept on governance.</w:t>
      </w:r>
    </w:p>
    <w:p>
      <w:r>
        <w:rPr>
          <w:i/>
          <w:color w:val="5F6B7A"/>
          <w:sz w:val="16"/>
        </w:rPr>
        <w:t>SEB policies applied: Policy on Sustainability Considerations in Investments (SEB AB); Financial sector - no dedicated SEB sector policy (thematic policies applied); Environmental Policy on Climate, Nature and Water (thematic); Social and Human Rights Policy (thematic); Governance expectations in sector policies (anti-corruption, tax, reporting)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Sources</w:t>
      </w:r>
    </w:p>
    <w:p>
      <w:pPr>
        <w:spacing w:after="20"/>
        <w:ind w:left="340" w:hanging="340"/>
      </w:pPr>
      <w:r>
        <w:rPr>
          <w:sz w:val="17"/>
        </w:rPr>
        <w:t xml:space="preserve">1. </w:t>
      </w:r>
      <w:hyperlink r:id="rId10">
        <w:r>
          <w:rPr>
            <w:color w:val="2A78D6"/>
            <w:sz w:val="17"/>
          </w:rPr>
          <w:t xml:space="preserve">Coop Pank - Investor page (ratings, calendar), 2026-10-22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2. </w:t>
      </w:r>
      <w:hyperlink r:id="rId11">
        <w:r>
          <w:rPr>
            <w:color w:val="2A78D6"/>
            <w:sz w:val="17"/>
          </w:rPr>
          <w:t xml:space="preserve">Coop Pank - Interim report 9M 2026 (unaudited), p. 5, 7, 2026-10-20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3. </w:t>
      </w:r>
      <w:hyperlink r:id="rId12">
        <w:r>
          <w:rPr>
            <w:color w:val="2A78D6"/>
            <w:sz w:val="17"/>
          </w:rPr>
          <w:t xml:space="preserve">Coop Pank - Announcement on Finantsinspektsioon precept, 2026-10-21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4. </w:t>
      </w:r>
      <w:hyperlink r:id="rId11">
        <w:r>
          <w:rPr>
            <w:color w:val="2A78D6"/>
            <w:sz w:val="17"/>
          </w:rPr>
          <w:t xml:space="preserve">Coop Pank - Interim report 9M 2026 (unaudited), p. 5, 9, 2026-10-20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5. </w:t>
      </w:r>
      <w:hyperlink r:id="rId13">
        <w:r>
          <w:rPr>
            <w:color w:val="2A78D6"/>
            <w:sz w:val="17"/>
          </w:rPr>
          <w:t xml:space="preserve">Coop Pank - Interim report 9M 2026 (unaudited), p. 6, 10, 2026-10-20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6. </w:t>
      </w:r>
      <w:hyperlink r:id="rId13">
        <w:r>
          <w:rPr>
            <w:color w:val="2A78D6"/>
            <w:sz w:val="17"/>
          </w:rPr>
          <w:t xml:space="preserve">Coop Pank - Interim report 9M 2026 (unaudited), p. 6-7, 2026-10-20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7. </w:t>
      </w:r>
      <w:hyperlink r:id="rId14">
        <w:r>
          <w:rPr>
            <w:color w:val="2A78D6"/>
            <w:sz w:val="17"/>
          </w:rPr>
          <w:t xml:space="preserve">Coop Pank - Investor reporting page (key figures), 2026-10-22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8. </w:t>
      </w:r>
      <w:hyperlink r:id="rId15">
        <w:r>
          <w:rPr>
            <w:color w:val="2A78D6"/>
            <w:sz w:val="17"/>
          </w:rPr>
          <w:t xml:space="preserve">Coop Pank - Interim report 9M 2026 (unaudited), p. 9, 2026-10-20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9. </w:t>
      </w:r>
      <w:hyperlink r:id="rId11">
        <w:r>
          <w:rPr>
            <w:color w:val="2A78D6"/>
            <w:sz w:val="17"/>
          </w:rPr>
          <w:t xml:space="preserve">Coop Pank - Interim report 9M 2026 (unaudited), p. 5, 2026-10-20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10. </w:t>
      </w:r>
      <w:hyperlink r:id="rId16">
        <w:r>
          <w:rPr>
            <w:color w:val="2A78D6"/>
            <w:sz w:val="17"/>
          </w:rPr>
          <w:t xml:space="preserve">Coop Pank - Interim report 9M 2026 (unaudited), p. 10, 2026-10-20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11. </w:t>
      </w:r>
      <w:hyperlink r:id="rId13">
        <w:r>
          <w:rPr>
            <w:color w:val="2A78D6"/>
            <w:sz w:val="17"/>
          </w:rPr>
          <w:t xml:space="preserve">Coop Pank - Interim report 9M 2026 (unaudited), p. 6, 2026-10-20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12. </w:t>
      </w:r>
      <w:hyperlink r:id="rId17">
        <w:r>
          <w:rPr>
            <w:color w:val="2A78D6"/>
            <w:sz w:val="17"/>
          </w:rPr>
          <w:t xml:space="preserve">Coop Pank - Q3 2026 results announcement, 2026-10-20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13. </w:t>
      </w:r>
      <w:hyperlink r:id="rId18">
        <w:r>
          <w:rPr>
            <w:color w:val="2A78D6"/>
            <w:sz w:val="17"/>
          </w:rPr>
          <w:t xml:space="preserve">Coop Pank - Annual report 2025 (consolidated), p. 18,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14. </w:t>
      </w:r>
      <w:hyperlink r:id="rId19">
        <w:r>
          <w:rPr>
            <w:color w:val="2A78D6"/>
            <w:sz w:val="17"/>
          </w:rPr>
          <w:t xml:space="preserve">Coop Pank - Interim report 9M 2026 (unaudited), p. 7, 2026-10-20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15. </w:t>
      </w:r>
      <w:hyperlink r:id="rId21">
        <w:r>
          <w:rPr>
            <w:color w:val="2A78D6"/>
            <w:sz w:val="17"/>
          </w:rPr>
          <w:t xml:space="preserve">Coop Pank - Interim report 9M 2026 (unaudited), p. 23, 2026-10-20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16. </w:t>
      </w:r>
      <w:hyperlink r:id="rId22">
        <w:r>
          <w:rPr>
            <w:color w:val="2A78D6"/>
            <w:sz w:val="17"/>
          </w:rPr>
          <w:t xml:space="preserve">Coop Pank - Interim report 9M 2026 (unaudited), p. 4, 7, 2026-10-20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17. </w:t>
      </w:r>
      <w:hyperlink r:id="rId23">
        <w:r>
          <w:rPr>
            <w:color w:val="2A78D6"/>
            <w:sz w:val="17"/>
          </w:rPr>
          <w:t xml:space="preserve">Coop Pank - Targets and strategy, 2026-10-22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18. </w:t>
      </w:r>
      <w:hyperlink r:id="rId24">
        <w:r>
          <w:rPr>
            <w:color w:val="2A78D6"/>
            <w:sz w:val="17"/>
          </w:rPr>
          <w:t xml:space="preserve">Coop Pank - Subordinated bonds page, 2026-10-22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19. </w:t>
      </w:r>
      <w:hyperlink r:id="rId25">
        <w:r>
          <w:rPr>
            <w:color w:val="2A78D6"/>
            <w:sz w:val="17"/>
          </w:rPr>
          <w:t xml:space="preserve">Coop Pank - Terms and Conditions of AT1 Temporary Write-Down Notes (4, 5(2), 7), 2023-03-15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20. </w:t>
      </w:r>
      <w:hyperlink r:id="rId19">
        <w:r>
          <w:rPr>
            <w:color w:val="2A78D6"/>
            <w:sz w:val="17"/>
          </w:rPr>
          <w:t xml:space="preserve">Coop Pank - Interim report 9M 2026 (unaudited), p. 7-8, 2026-10-20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21. </w:t>
      </w:r>
      <w:hyperlink r:id="rId26">
        <w:r>
          <w:rPr>
            <w:color w:val="2A78D6"/>
            <w:sz w:val="17"/>
          </w:rPr>
          <w:t xml:space="preserve">Coop Pank - Annual report 2025 (consolidated), p. 36-37,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22. </w:t>
      </w:r>
      <w:hyperlink r:id="rId27">
        <w:r>
          <w:rPr>
            <w:color w:val="2A78D6"/>
            <w:sz w:val="17"/>
          </w:rPr>
          <w:t xml:space="preserve">SEB Policy on Sustainability Considerations in Investments (2026-04-15), 2026-04-15</w:t>
        </w:r>
      </w:hyperlink>
    </w:p>
    <w:p>
      <w:r>
        <w:rPr>
          <w:i/>
          <w:color w:val="5F6B7A"/>
          <w:sz w:val="16"/>
        </w:rPr>
        <w:t>Report prepared automatically from public sources. Figures are as published by the issuer; references [S#] point to the source list. Items marked for review must be checked by the analyst before use.</w:t>
      </w:r>
    </w:p>
    <w:sectPr w:rsidR="00FC693F" w:rsidRPr="0006063C" w:rsidSect="00034616">
      <w:footerReference w:type="default" r:id="rId9"/>
      <w:pgSz w:w="12240" w:h="15840"/>
      <w:pgMar w:top="907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F6B7A"/>
        <w:sz w:val="16"/>
      </w:rPr>
      <w:t xml:space="preserve">Coop Pank · 9M2026 · 2026-10-22   · 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www.cooppank.ee/en/investor" TargetMode="External"/><Relationship Id="rId11" Type="http://schemas.openxmlformats.org/officeDocument/2006/relationships/hyperlink" Target="https://res30f.cooppank.ee/image/upload/investor_lehed/aruandlus/ENG/2026/Interim_report_9m_2026_EN.pdf#page=5" TargetMode="External"/><Relationship Id="rId12" Type="http://schemas.openxmlformats.org/officeDocument/2006/relationships/hyperlink" Target="https://view.news.eu.nasdaq.com/view?id=b2038756d5f89f1731d5413c841d20571&amp;lang=en&amp;src=listed" TargetMode="External"/><Relationship Id="rId13" Type="http://schemas.openxmlformats.org/officeDocument/2006/relationships/hyperlink" Target="https://res30f.cooppank.ee/image/upload/investor_lehed/aruandlus/ENG/2026/Interim_report_9m_2026_EN.pdf#page=6" TargetMode="External"/><Relationship Id="rId14" Type="http://schemas.openxmlformats.org/officeDocument/2006/relationships/hyperlink" Target="https://www.cooppank.ee/en/investor/reporting" TargetMode="External"/><Relationship Id="rId15" Type="http://schemas.openxmlformats.org/officeDocument/2006/relationships/hyperlink" Target="https://res30f.cooppank.ee/image/upload/investor_lehed/aruandlus/ENG/2026/Interim_report_9m_2026_EN.pdf#page=9" TargetMode="External"/><Relationship Id="rId16" Type="http://schemas.openxmlformats.org/officeDocument/2006/relationships/hyperlink" Target="https://res30f.cooppank.ee/image/upload/investor_lehed/aruandlus/ENG/2026/Interim_report_9m_2026_EN.pdf#page=10" TargetMode="External"/><Relationship Id="rId17" Type="http://schemas.openxmlformats.org/officeDocument/2006/relationships/hyperlink" Target="https://view.news.eu.nasdaq.com/view?id=b4b85a453f265185186c742780376177c&amp;lang=en&amp;src=listed" TargetMode="External"/><Relationship Id="rId18" Type="http://schemas.openxmlformats.org/officeDocument/2006/relationships/hyperlink" Target="https://res30f.cooppank.ee/image/upload/investor_lehed/uldkoosolekud/teated/eng/26/Coop_Pank_annual_report_consolidated_2025_eng.pdf#page=18" TargetMode="External"/><Relationship Id="rId19" Type="http://schemas.openxmlformats.org/officeDocument/2006/relationships/hyperlink" Target="https://res30f.cooppank.ee/image/upload/investor_lehed/aruandlus/ENG/2026/Interim_report_9m_2026_EN.pdf#page=7" TargetMode="External"/><Relationship Id="rId20" Type="http://schemas.openxmlformats.org/officeDocument/2006/relationships/image" Target="media/image1.png"/><Relationship Id="rId21" Type="http://schemas.openxmlformats.org/officeDocument/2006/relationships/hyperlink" Target="https://res30f.cooppank.ee/image/upload/investor_lehed/aruandlus/ENG/2026/Interim_report_9m_2026_EN.pdf#page=23" TargetMode="External"/><Relationship Id="rId22" Type="http://schemas.openxmlformats.org/officeDocument/2006/relationships/hyperlink" Target="https://res30f.cooppank.ee/image/upload/investor_lehed/aruandlus/ENG/2026/Interim_report_9m_2026_EN.pdf#page=4" TargetMode="External"/><Relationship Id="rId23" Type="http://schemas.openxmlformats.org/officeDocument/2006/relationships/hyperlink" Target="https://www.cooppank.ee/en/investor/management/targets-and-strategy" TargetMode="External"/><Relationship Id="rId24" Type="http://schemas.openxmlformats.org/officeDocument/2006/relationships/hyperlink" Target="https://www.cooppank.ee/en/investor/bonds/subordinated-bonds" TargetMode="External"/><Relationship Id="rId25" Type="http://schemas.openxmlformats.org/officeDocument/2006/relationships/hyperlink" Target="https://res30f.cooppank.ee/image/upload/v1718006426/dokumendid/est/Terms_and_Conditions_of_Coop_Pank_AT1_Temporary_Write-Down_Notes_2022.pdf" TargetMode="External"/><Relationship Id="rId26" Type="http://schemas.openxmlformats.org/officeDocument/2006/relationships/hyperlink" Target="https://res30f.cooppank.ee/image/upload/investor_lehed/uldkoosolekud/teated/eng/26/Coop_Pank_annual_report_consolidated_2025_eng.pdf#page=36" TargetMode="External"/><Relationship Id="rId27" Type="http://schemas.openxmlformats.org/officeDocument/2006/relationships/hyperlink" Target="https://sebgroup.com/sustainability/our-sustainability-strategy/polic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