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8"/>
        </w:rPr>
        <w:t>Coop Pank</w:t>
      </w:r>
    </w:p>
    <w:p>
      <w:r>
        <w:rPr>
          <w:color w:val="5F6B7A"/>
          <w:sz w:val="24"/>
        </w:rPr>
        <w:t>Emitento apžvalga · 9M2026</w:t>
      </w:r>
    </w:p>
    <w:p>
      <w:pPr>
        <w:spacing w:after="0"/>
      </w:pPr>
      <w:r>
        <w:rPr>
          <w:b/>
          <w:sz w:val="19"/>
        </w:rPr>
        <w:t xml:space="preserve">Analizės data: </w:t>
      </w:r>
      <w:r>
        <w:rPr>
          <w:b w:val="0"/>
          <w:sz w:val="19"/>
        </w:rPr>
        <w:t>2026-10-22</w:t>
      </w:r>
    </w:p>
    <w:p>
      <w:pPr>
        <w:spacing w:after="0"/>
      </w:pPr>
      <w:r>
        <w:rPr>
          <w:b/>
          <w:sz w:val="19"/>
        </w:rPr>
        <w:t xml:space="preserve">Reitingas: </w:t>
      </w:r>
      <w:r>
        <w:rPr>
          <w:b w:val="0"/>
          <w:sz w:val="19"/>
        </w:rPr>
        <w:t>Moody's Baa1 long-term deposit rating, outlook stable; BCA baa3</w:t>
      </w:r>
      <w:hyperlink r:id="rId10">
        <w:r>
          <w:rPr>
            <w:color w:val="2A78D6"/>
            <w:vertAlign w:val="superscript"/>
            <w:sz w:val="16"/>
          </w:rPr>
          <w:t xml:space="preserve">1</w:t>
        </w:r>
      </w:hyperlink>
    </w:p>
    <w:p>
      <w:pPr>
        <w:spacing w:after="0"/>
      </w:pPr>
      <w:r>
        <w:rPr>
          <w:b/>
          <w:sz w:val="19"/>
        </w:rPr>
        <w:t xml:space="preserve">Kita ataskaita: </w:t>
      </w:r>
      <w:r>
        <w:rPr>
          <w:b w:val="0"/>
          <w:sz w:val="19"/>
        </w:rPr>
        <w:t>Unaudited Q4 2026 and annual results - 2027-02-18</w:t>
      </w:r>
      <w:hyperlink r:id="rId10">
        <w:r>
          <w:rPr>
            <w:color w:val="2A78D6"/>
            <w:vertAlign w:val="superscript"/>
            <w:sz w:val="16"/>
          </w:rPr>
          <w:t xml:space="preserve">1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3F3E8"/>
          </w:tcPr>
          <w:p>
            <w:pPr>
              <w:spacing w:before="60" w:after="60"/>
            </w:pPr>
            <w:r>
              <w:rPr>
                <w:b/>
                <w:color w:val="1A1A1A"/>
                <w:sz w:val="21"/>
              </w:rPr>
              <w:t>Pozicija tvarkinga.</w:t>
            </w:r>
            <w:r>
              <w:rPr>
                <w:b w:val="0"/>
                <w:color w:val="1A1A1A"/>
                <w:sz w:val="21"/>
              </w:rPr>
              <w:t xml:space="preserve"> 9 mėn. pelnas 25,6 mln. EUR (+19 %, apskaičiuota įrankio), CET1 14,75 %, bendras kapitalas 19,86 %</w:t>
            </w:r>
            <w:hyperlink r:id="rId11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A1A1A"/>
                <w:sz w:val="21"/>
              </w:rPr>
              <w:t>. Stebėtina: 2026-10-21 Finansų inspekcija nurodė pagerinti valdyseną, vidaus kontrolę ir rizikos valdymą (be baudos)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FFFFF"/>
          <w:left w:val="nil"/>
          <w:bottom w:val="single" w:sz="4" w:color="FFFFFF"/>
          <w:right w:val="nil"/>
          <w:insideH w:val="single" w:sz="4" w:color="FFFFFF"/>
          <w:insideV w:val="nil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Grynasis pelnas (9M2026)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25,6 mln. EUR</w:t>
            </w:r>
          </w:p>
          <w:p>
            <w:r>
              <w:rPr>
                <w:color w:val="5F6B7A"/>
                <w:sz w:val="16"/>
              </w:rPr>
              <w:t>▲ 19,1 % vs 9M2025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CET1 rodiklis (9M2026)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14,75 %</w:t>
            </w:r>
          </w:p>
          <w:p>
            <w:r>
              <w:rPr>
                <w:color w:val="5F6B7A"/>
                <w:sz w:val="16"/>
              </w:rPr>
              <w:t>▲ 0,6 p. p. vs FY2025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Bendrasis kapitalo rodiklis (9M2026)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19,86 %</w:t>
            </w:r>
          </w:p>
          <w:p>
            <w:r>
              <w:rPr>
                <w:color w:val="5F6B7A"/>
                <w:sz w:val="16"/>
              </w:rPr>
              <w:t>▲ 1,32 p. p. vs FY2025</w:t>
            </w:r>
          </w:p>
        </w:tc>
        <w:tc>
          <w:tcPr>
            <w:tcW w:type="dxa" w:w="2493"/>
            <w:shd w:val="clear" w:color="auto" w:fill="EAF1F8"/>
          </w:tcPr>
          <w:p>
            <w:r/>
            <w:r>
              <w:rPr>
                <w:color w:val="5F6B7A"/>
                <w:sz w:val="16"/>
              </w:rPr>
              <w:t>LCR (9M2026)</w:t>
            </w:r>
          </w:p>
          <w:p>
            <w:pPr>
              <w:spacing w:after="0"/>
            </w:pPr>
            <w:r>
              <w:rPr>
                <w:b/>
                <w:color w:val="1F4E79"/>
                <w:sz w:val="26"/>
              </w:rPr>
              <w:t>213,29 %</w:t>
            </w:r>
          </w:p>
          <w:p>
            <w:r>
              <w:rPr>
                <w:color w:val="5F6B7A"/>
                <w:sz w:val="16"/>
              </w:rPr>
              <w:t>▲ 27,84 p. p. vs 9M2025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Trumpa santrauka</w:t>
      </w:r>
    </w:p>
    <w:p>
      <w:pPr>
        <w:pStyle w:val="ListBullet"/>
        <w:spacing w:after="60"/>
      </w:pPr>
      <w:r>
        <w:rPr>
          <w:b/>
        </w:rPr>
        <w:t>Pelnas auga:</w:t>
      </w:r>
      <w:r>
        <w:rPr>
          <w:b w:val="0"/>
        </w:rPr>
        <w:t xml:space="preserve"> 9 mėn. grynosios palūkanų pajamos 63,1 mln. EUR (54,2 mln.), pelnas 25,6 mln. EUR (21,5 mln.); III ketv. ROE 14,6 %, sąnaudų ir pajamų santykis 52,5 %</w:t>
      </w:r>
      <w:hyperlink r:id="rId11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Augimas:</w:t>
      </w:r>
      <w:r>
        <w:rPr>
          <w:b w:val="0"/>
        </w:rPr>
        <w:t xml:space="preserve"> paskolos 2,30 mlrd. EUR (+14 % per metus, apskaičiuota įrankio), indėliai 2,37 mlrd. EUR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Kapitalas ir likvidumas:</w:t>
      </w:r>
      <w:r>
        <w:rPr>
          <w:b w:val="0"/>
        </w:rPr>
        <w:t xml:space="preserve"> CET1 14,75 %, T1 16,72 %, bendras 19,86 %; sverto rodiklis 7,88 %; LCR 213 %, NSFR 125 %</w:t>
      </w:r>
      <w:hyperlink r:id="rId13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Priežiūros nurodymas:</w:t>
      </w:r>
      <w:r>
        <w:rPr>
          <w:b w:val="0"/>
        </w:rPr>
        <w:t xml:space="preserve"> po patikrinimo Finansų inspekcija 2026-10-21 nurodė pagerinti valdyseną, vidaus kontrolę, rizikos valdymą, ataskaitas ir skolinimo procedūras; bankas sutinka, terminai 2026–2027 m., įtakos finansiniams rezultatams nėra</w:t>
      </w:r>
      <w:hyperlink r:id="rId12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Turimos priemonės ir ISIN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ISIN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Priemonė</w:t>
            </w:r>
          </w:p>
        </w:tc>
        <w:tc>
          <w:tcPr>
            <w:tcW w:type="dxa" w:w="964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Kuponas</w:t>
            </w:r>
          </w:p>
        </w:tc>
        <w:tc>
          <w:tcPr>
            <w:tcW w:type="dxa" w:w="130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Išpirkimas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Pastaba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EE3300003649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Coop Pank 12% AT1 notes (2023)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12 %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neterminuota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Perpetual AT1; temporary write-down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Pagrindiniai rodikliai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Rodiklis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9M2025</w:t>
            </w:r>
          </w:p>
        </w:tc>
        <w:tc>
          <w:tcPr>
            <w:tcW w:type="dxa" w:w="119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9M2026</w:t>
            </w:r>
          </w:p>
        </w:tc>
        <w:tc>
          <w:tcPr>
            <w:tcW w:type="dxa" w:w="2211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Pokytis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Grynosios palūkanų pajamos,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77,6*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73,3*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54,2*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63,1*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16,4 % vs 9M2025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Visos veiklos pajamos,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81,9*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79,4*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58,4*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66,9*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14,6 % vs 9M2025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Grynasis pelnas,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32,2*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28,7*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21,5*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25,6*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19,1 % vs 9M2025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Sąnaudų ir pajamų santykis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49,6 %*</w:t>
            </w:r>
          </w:p>
        </w:tc>
        <w:tc>
          <w:tcPr>
            <w:tcW w:type="dxa" w:w="1191"/>
            <w:shd w:val="clear" w:color="auto" w:fill="FDF1D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52,3 %*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▲ 2,7 p. p. vs FY2024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ROE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16,2 %*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12,9 %*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3,3 p. p. vs FY2024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Paskolos klientams,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1 774*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2 114,1*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2 023,3*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2 301,4*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13,7 % vs 9M2025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Klientų indėliai,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1 886*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2 124,5*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1 957,9*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2 368,6*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21,0 % vs 9M2025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Turtas, mln. EUR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2 703,0*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2 531,9*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2 965,6*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color w:val="5F6B7A"/>
                <w:sz w:val="17"/>
              </w:rPr>
              <w:t>▲ 17,1 % vs 9M2025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Nuosavas kapitalas,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212*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234,5*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227,3*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251,6*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10,7 % vs 9M2025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CET1 rodiklis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14,28 %*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14,15 %*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DF1D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14,75 %*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0,6 p. p. vs FY2025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Bendrasis kapitalo rodiklis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19,4 %*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18,54 %*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19,86 %*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1,32 p. p. vs FY2025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Sverto rodiklis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8,08 %*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7,88 %*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B42318"/>
                <w:sz w:val="17"/>
              </w:rPr>
              <w:t>▼ 0,2 p. p. vs 9M2025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LCR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207 %*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202 %*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185,45 %*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213,29 %*</w:t>
            </w:r>
          </w:p>
        </w:tc>
        <w:tc>
          <w:tcPr>
            <w:tcW w:type="dxa" w:w="2211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27,84 p. p. vs 9M2025</w:t>
            </w:r>
          </w:p>
        </w:tc>
      </w:tr>
      <w:tr>
        <w:tc>
          <w:tcPr>
            <w:tcW w:type="dxa" w:w="294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NSFR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9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120,04 %*</w:t>
            </w:r>
          </w:p>
        </w:tc>
        <w:tc>
          <w:tcPr>
            <w:tcW w:type="dxa" w:w="1191"/>
            <w:shd w:val="clear" w:color="auto" w:fill="E3F3E8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125,16 %*</w:t>
            </w:r>
          </w:p>
        </w:tc>
        <w:tc>
          <w:tcPr>
            <w:tcW w:type="dxa" w:w="2211"/>
            <w:shd w:val="clear" w:color="auto" w:fill="F6F8FA"/>
          </w:tcPr>
          <w:p>
            <w:pPr>
              <w:spacing w:after="0"/>
              <w:jc w:val="right"/>
            </w:pPr>
            <w:r/>
            <w:r>
              <w:rPr>
                <w:b/>
                <w:color w:val="1B7F3B"/>
                <w:sz w:val="17"/>
              </w:rPr>
              <w:t>▲ 5,12 p. p. vs 9M2025</w:t>
            </w:r>
          </w:p>
        </w:tc>
      </w:tr>
    </w:tbl>
    <w:p>
      <w:r>
        <w:rPr>
          <w:i/>
          <w:color w:val="5F6B7A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r>
        <w:rPr>
          <w:i/>
          <w:color w:val="5F6B7A"/>
          <w:sz w:val="16"/>
        </w:rPr>
        <w:t>* – paimta iš ataskaitos santraukos;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-pank_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Veiklos apžvalga</w:t>
      </w:r>
    </w:p>
    <w:p>
      <w:pPr>
        <w:pStyle w:val="ListBullet"/>
        <w:spacing w:after="60"/>
      </w:pPr>
      <w:r>
        <w:rPr>
          <w:b w:val="0"/>
        </w:rPr>
        <w:t>Estijos bankas, kurio strateginis akcininkas – Coop Eesti; Coop Investeeringud 22 %, Coop kooperatyvai 19 %, Andres Sonn 8 %</w:t>
      </w:r>
      <w:hyperlink r:id="rId17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color w:val="2A78D6"/>
          <w:vertAlign w:val="superscript"/>
        </w:rPr>
        <w:t>,</w:t>
      </w:r>
      <w:hyperlink r:id="rId21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2026-09 EMTN programa padidinta iki 1,5 mlrd. EUR (įtraukti nepadengti ir Tier 2 vertybiniai popieriai); 2026-06 baigta sintetinė pakeitimo vertybiniais popieriais operacija su EIF</w:t>
      </w:r>
      <w:hyperlink r:id="rId22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Finansai</w:t>
      </w:r>
    </w:p>
    <w:p>
      <w:pPr>
        <w:pStyle w:val="ListBullet"/>
        <w:spacing w:after="60"/>
      </w:pPr>
      <w:r>
        <w:rPr>
          <w:b w:val="0"/>
        </w:rPr>
        <w:t>2025 m. pelnas 28,7 mln. EUR (32,2 mln.), ROE 12,9 % (16,2 %), sąnaudų ir pajamų santykis 52,3 % (49,6 %)</w:t>
      </w:r>
      <w:hyperlink r:id="rId14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Dividendai:</w:t>
      </w:r>
      <w:r>
        <w:rPr>
          <w:b w:val="0"/>
        </w:rPr>
        <w:t xml:space="preserve"> 2026-04 išmokėta 6,5 ct akcijai; politika – 25 % pelno prieš mokesčius</w:t>
      </w:r>
      <w:hyperlink r:id="rId14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23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Ankstesni planai ir rezultatai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3DE"/>
          <w:left w:val="nil"/>
          <w:bottom w:val="single" w:sz="4" w:color="C9D3DE"/>
          <w:right w:val="nil"/>
          <w:insideH w:val="single" w:sz="4" w:color="C9D3DE"/>
          <w:insideV w:val="nil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Planas / tikslas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Rezultatas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Kas pasikeitė ir kodėl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Būsena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Iki 2030 m.: 10 % paskolų rinkos dalis, pelnas ≥60 mln. EUR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9M 2026 pelnas 25,6 mln. EUR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Ilgalaikis tikslas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AF1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ROE ≥15 %, sąnaudų ir pajamų santykis &lt;45 %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III ketv. ROE 14,6 %, sąnaudų ir pajamų santykis 52,5 %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3175"/>
            <w:shd w:val="clear" w:color="auto" w:fill="F6F8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ROE artėja prie tikslo, sąnaudos dar per didelės</w:t>
            </w:r>
            <w:hyperlink r:id="rId11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FDF1D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Iš dalies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Įvykdyti Finansų inspekcijos nurodymus (2026–2027 m.)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Naujas įsipareigojimas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Naujas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61"/>
            <w:shd w:val="clear" w:color="auto" w:fill="EAF1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Informacija investuotojui ir išvados</w:t>
      </w:r>
    </w:p>
    <w:p>
      <w:pPr>
        <w:pStyle w:val="ListBullet"/>
        <w:spacing w:after="60"/>
      </w:pPr>
      <w:r>
        <w:rPr>
          <w:b/>
        </w:rPr>
        <w:t>Turima priemonė:</w:t>
      </w:r>
      <w:r>
        <w:rPr>
          <w:b w:val="0"/>
        </w:rPr>
        <w:t xml:space="preserve"> 12 % neterminuota AT1 obligacija EE3300003649, išleista 2023-09-18, 12 mln. EUR, kuponas kas ketvirtį; pirmoji išpirkimo data 2028-09-18; nekotiruojama</w:t>
      </w:r>
      <w:hyperlink r:id="rId24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Sąlygos:</w:t>
      </w:r>
      <w:r>
        <w:rPr>
          <w:b w:val="0"/>
        </w:rPr>
        <w:t xml:space="preserve"> subordinuota, žemiau indėlių ir Tier 2; kuponą bankas gali atšaukti savo nuožiūra, atšaukti kuponai nekaupiami; nominali vertė laikinai nurašoma, jei grupės CET1 nukristų žemiau ribos, nurodytos galutinėse sąlygose (šios serijos riba nerasta)</w:t>
      </w:r>
      <w:hyperlink r:id="rId25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Atsarga:</w:t>
      </w:r>
      <w:r>
        <w:rPr>
          <w:b w:val="0"/>
        </w:rPr>
        <w:t xml:space="preserve"> CET1 14,75 %, gerokai virš reikalavimų; bankas atitinka visus kapitalo reikalavimus</w:t>
      </w:r>
      <w:hyperlink r:id="rId19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Išvada:</w:t>
      </w:r>
      <w:r>
        <w:rPr>
          <w:b w:val="0"/>
        </w:rPr>
        <w:t xml:space="preserve"> vidutinė rizika – pelningas bankas su gera kapitalo atsarga; AT1 rizika ir priežiūros nurodymas.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ESG report</w:t>
      </w:r>
    </w:p>
    <w:p>
      <w:pPr>
        <w:spacing w:before="160"/>
      </w:pPr>
      <w:r>
        <w:rPr>
          <w:b/>
          <w:sz w:val="22"/>
        </w:rPr>
        <w:t>Exclusionary screening (companies)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not involved in excluded sectors: controversial and nuclear weapons, tobacco, gambling and restricted sectors in fossil fuel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Mažmeninė ir MVĮ bankininkystė Estijoje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Išskirtuose sektoriuose veiklos nėra</w:t>
      </w:r>
      <w:hyperlink r:id="rId17">
        <w:r>
          <w:rPr>
            <w:color w:val="2A78D6"/>
            <w:vertAlign w:val="superscript"/>
            <w:sz w:val="16"/>
          </w:rPr>
          <w:t xml:space="preserve">12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does not have red flag/signal related to controversies based on UN Global Compact, OECD Guidelines for Multinational Enterprises or any other relevant principles/standards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Ginčų pagal JT Pasaulinį susitarimą ar EBPO gaires nerasta.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not in the list of sanctions (add a screenshot)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Nerasta EU, UN, UK, US OFAC konsoliduotuose sankcijų sąrašuose (automatinė patikra 2026-10-22).</w:t>
      </w:r>
    </w:p>
    <w:p>
      <w:pPr>
        <w:spacing w:before="80" w:after="20"/>
      </w:pPr>
      <w:r>
        <w:rPr>
          <w:sz w:val="24"/>
        </w:rPr>
        <w:t xml:space="preserve">☐ </w:t>
      </w:r>
      <w:r>
        <w:t>Yes, issues were not identified from adverse media checks (add a screenshot)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Rasta: 2026-10-21 Finansų inspekcijos nurodymas pagerinti valdyseną, vidaus kontrolę ir rizikos valdymą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Baudos nėra, bankas sutinka</w:t>
      </w:r>
      <w:hyperlink r:id="rId12">
        <w:r>
          <w:rPr>
            <w:color w:val="2A78D6"/>
            <w:vertAlign w:val="superscript"/>
            <w:sz w:val="16"/>
          </w:rPr>
          <w:t xml:space="preserve">3</w:t>
        </w:r>
      </w:hyperlink>
      <w:r>
        <w:rPr>
          <w:b w:val="0"/>
          <w:color w:val="333333"/>
          <w:sz w:val="19"/>
        </w:rPr>
        <w:t>.</w:t>
      </w:r>
    </w:p>
    <w:p>
      <w:r>
        <w:rPr>
          <w:i/>
          <w:sz w:val="19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ESG integration and positive screening (positive answers imply higher allocation)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is promoting environmental or social characteristics (activities, ESG policy, good ESG rating, etc)</w:t>
      </w:r>
    </w:p>
    <w:p>
      <w:pPr>
        <w:spacing w:after="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Finansuoja saulės ir vėjo projektus (81,3 MW)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Patvirtinta ESG politika</w:t>
      </w:r>
      <w:hyperlink r:id="rId26">
        <w:r>
          <w:rPr>
            <w:color w:val="2A78D6"/>
            <w:vertAlign w:val="superscript"/>
            <w:sz w:val="16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6"/>
          </w:rPr>
          <w:t xml:space="preserve">3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activities of the company or it’s strategy is aligned with the taxonomy and/or Paris agreement targets (e.g. net zero commitment)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Skelbiama tvarumo ataskaita (2025)</w:t>
      </w:r>
      <w:hyperlink r:id="rId14">
        <w:r>
          <w:rPr>
            <w:color w:val="2A78D6"/>
            <w:vertAlign w:val="superscript"/>
            <w:sz w:val="16"/>
          </w:rPr>
          <w:t xml:space="preserve">7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☐ </w:t>
      </w:r>
      <w:r>
        <w:t>Yes, the company does not have yellow flag/signal related to controversies based on UN Global Compact or any other relevant principles/standards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Geltonas signalas: priežiūros institucijos nurodymas dėl valdysenos ir vidaus kontrolės</w:t>
      </w:r>
      <w:hyperlink r:id="rId12">
        <w:r>
          <w:rPr>
            <w:color w:val="2A78D6"/>
            <w:vertAlign w:val="superscript"/>
            <w:sz w:val="16"/>
          </w:rPr>
          <w:t xml:space="preserve">3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company fulfills the expectations from SEB thematic and sector policies</w:t>
      </w:r>
    </w:p>
    <w:p>
      <w:pPr>
        <w:spacing w:after="0"/>
        <w:ind w:left="397"/>
      </w:pPr>
      <w:r>
        <w:rPr>
          <w:b/>
          <w:color w:val="333333"/>
          <w:sz w:val="19"/>
        </w:rPr>
        <w:t>Taikoma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Investicijų politika</w:t>
      </w:r>
      <w:hyperlink r:id="rId27">
        <w:r>
          <w:rPr>
            <w:color w:val="2A78D6"/>
            <w:vertAlign w:val="superscript"/>
            <w:sz w:val="16"/>
          </w:rPr>
          <w:t xml:space="preserve">22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397"/>
      </w:pPr>
      <w:r>
        <w:rPr>
          <w:b/>
          <w:color w:val="333333"/>
          <w:sz w:val="19"/>
        </w:rPr>
        <w:t>Atitinka</w:t>
      </w:r>
    </w:p>
    <w:p>
      <w:pPr>
        <w:spacing w:after="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Reguliuojamas ES bankas su ESG politika ir tvarumo ataskaita</w:t>
      </w:r>
      <w:hyperlink r:id="rId12">
        <w:r>
          <w:rPr>
            <w:color w:val="2A78D6"/>
            <w:vertAlign w:val="superscript"/>
            <w:sz w:val="16"/>
          </w:rPr>
          <w:t xml:space="preserve">3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6"/>
          </w:rPr>
          <w:t xml:space="preserve">7</w:t>
        </w:r>
      </w:hyperlink>
      <w:r>
        <w:rPr>
          <w:b w:val="0"/>
          <w:color w:val="333333"/>
          <w:sz w:val="19"/>
        </w:rPr>
        <w:t>.</w:t>
      </w:r>
    </w:p>
    <w:p>
      <w:pPr>
        <w:spacing w:after="0"/>
        <w:ind w:left="397"/>
      </w:pPr>
      <w:r>
        <w:rPr>
          <w:b/>
          <w:color w:val="333333"/>
          <w:sz w:val="19"/>
        </w:rPr>
        <w:t>Galėtų būti geriau</w:t>
      </w:r>
    </w:p>
    <w:p>
      <w:pPr>
        <w:spacing w:after="120"/>
        <w:ind w:left="737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Finansuojamų emisijų rodiklis neskelbiamas</w:t>
      </w:r>
      <w:hyperlink r:id="rId26">
        <w:r>
          <w:rPr>
            <w:color w:val="2A78D6"/>
            <w:vertAlign w:val="superscript"/>
            <w:sz w:val="16"/>
          </w:rPr>
          <w:t xml:space="preserve">21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Engagement</w:t>
      </w:r>
    </w:p>
    <w:p>
      <w:pPr>
        <w:spacing w:before="80" w:after="20"/>
      </w:pPr>
      <w:r>
        <w:rPr>
          <w:sz w:val="24"/>
        </w:rPr>
        <w:t xml:space="preserve">☐ </w:t>
      </w:r>
      <w:r>
        <w:t>Is there a need for pro-active engagement with the company?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Nereikia: nurodymą prižiūri Finansų inspekcija.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160"/>
      </w:pPr>
      <w:r>
        <w:rPr>
          <w:b/>
          <w:sz w:val="22"/>
        </w:rPr>
        <w:t>Indicators</w:t>
      </w:r>
    </w:p>
    <w:p>
      <w:pPr>
        <w:spacing w:before="80" w:after="20"/>
      </w:pPr>
      <w:r>
        <w:rPr>
          <w:sz w:val="24"/>
        </w:rPr>
        <w:t xml:space="preserve">☑ </w:t>
      </w:r>
      <w:r>
        <w:t>Yes, the indicators of the company support the targets of sustainability and PAI indicators followed by the Fund</w:t>
      </w:r>
    </w:p>
    <w:p>
      <w:pPr>
        <w:spacing w:after="120"/>
        <w:ind w:left="510" w:hanging="198"/>
      </w:pPr>
      <w:r>
        <w:rPr>
          <w:sz w:val="19"/>
        </w:rPr>
        <w:t xml:space="preserve">•  </w:t>
      </w:r>
      <w:r>
        <w:rPr>
          <w:b w:val="0"/>
          <w:color w:val="333333"/>
          <w:sz w:val="19"/>
        </w:rPr>
        <w:t>Skelbiama atsinaujinančios energijos finansavimo apimtis (81,3 MW, apie 3,8 % verslo portfelio)</w:t>
      </w:r>
      <w:hyperlink r:id="rId26">
        <w:r>
          <w:rPr>
            <w:color w:val="2A78D6"/>
            <w:vertAlign w:val="superscript"/>
            <w:sz w:val="16"/>
          </w:rPr>
          <w:t xml:space="preserve">21</w:t>
        </w:r>
      </w:hyperlink>
      <w:r>
        <w:rPr>
          <w:b w:val="0"/>
          <w:color w:val="333333"/>
          <w:sz w:val="19"/>
        </w:rPr>
        <w:t>.</w:t>
      </w:r>
    </w:p>
    <w:p>
      <w:pPr>
        <w:spacing w:before="80"/>
      </w:pPr>
      <w:r>
        <w:rPr>
          <w:b/>
        </w:rPr>
        <w:t xml:space="preserve">Additional comments: </w:t>
      </w:r>
    </w:p>
    <w:p>
      <w:pPr>
        <w:spacing w:before="80"/>
      </w:pPr>
      <w:r>
        <w:rPr>
          <w:b/>
        </w:rPr>
        <w:t xml:space="preserve">Conclusion: </w:t>
      </w:r>
      <w:r>
        <w:rPr>
          <w:b w:val="0"/>
        </w:rPr>
        <w:t>Išimčių ir raudonų signalų nėra. Geltonas signalas – priežiūros nurodymas dėl valdysenos.</w:t>
      </w:r>
    </w:p>
    <w:p>
      <w:r>
        <w:rPr>
          <w:i/>
          <w:color w:val="5F6B7A"/>
          <w:sz w:val="16"/>
        </w:rPr>
        <w:t>Taikytos SEB politikos: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spacing w:before="280" w:after="80"/>
        <w:pBdr>
          <w:bottom w:val="single" w:sz="6" w:color="C9D3DE" w:space="2"/>
        </w:pBdr>
      </w:pPr>
      <w:r>
        <w:rPr>
          <w:b/>
          <w:color w:val="1F4E79"/>
          <w:sz w:val="28"/>
        </w:rPr>
        <w:t>Šaltiniai</w:t>
      </w:r>
    </w:p>
    <w:p>
      <w:pPr>
        <w:spacing w:after="20"/>
        <w:ind w:left="340" w:hanging="340"/>
      </w:pPr>
      <w:r>
        <w:rPr>
          <w:sz w:val="17"/>
        </w:rPr>
        <w:t xml:space="preserve">1. </w:t>
      </w:r>
      <w:hyperlink r:id="rId10">
        <w:r>
          <w:rPr>
            <w:color w:val="2A78D6"/>
            <w:sz w:val="17"/>
          </w:rPr>
          <w:t xml:space="preserve">Coop Pank - Investor page (ratings, calendar),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2. </w:t>
      </w:r>
      <w:hyperlink r:id="rId11">
        <w:r>
          <w:rPr>
            <w:color w:val="2A78D6"/>
            <w:sz w:val="17"/>
          </w:rPr>
          <w:t xml:space="preserve">Coop Pank - Interim report 9M 2026 (unaudited), p. 5, 7,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3. </w:t>
      </w:r>
      <w:hyperlink r:id="rId12">
        <w:r>
          <w:rPr>
            <w:color w:val="2A78D6"/>
            <w:sz w:val="17"/>
          </w:rPr>
          <w:t xml:space="preserve">Coop Pank - Announcement on Finantsinspektsioon precept, 2026-10-21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4. </w:t>
      </w:r>
      <w:hyperlink r:id="rId11">
        <w:r>
          <w:rPr>
            <w:color w:val="2A78D6"/>
            <w:sz w:val="17"/>
          </w:rPr>
          <w:t xml:space="preserve">Coop Pank - Interim report 9M 2026 (unaudited), p. 5, 9,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5. </w:t>
      </w:r>
      <w:hyperlink r:id="rId13">
        <w:r>
          <w:rPr>
            <w:color w:val="2A78D6"/>
            <w:sz w:val="17"/>
          </w:rPr>
          <w:t xml:space="preserve">Coop Pank - Interim report 9M 2026 (unaudited), p. 6, 10,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6. </w:t>
      </w:r>
      <w:hyperlink r:id="rId13">
        <w:r>
          <w:rPr>
            <w:color w:val="2A78D6"/>
            <w:sz w:val="17"/>
          </w:rPr>
          <w:t xml:space="preserve">Coop Pank - Interim report 9M 2026 (unaudited), p. 6-7,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7. </w:t>
      </w:r>
      <w:hyperlink r:id="rId14">
        <w:r>
          <w:rPr>
            <w:color w:val="2A78D6"/>
            <w:sz w:val="17"/>
          </w:rPr>
          <w:t xml:space="preserve">Coop Pank - Investor reporting page (key figures),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8. </w:t>
      </w:r>
      <w:hyperlink r:id="rId15">
        <w:r>
          <w:rPr>
            <w:color w:val="2A78D6"/>
            <w:sz w:val="17"/>
          </w:rPr>
          <w:t xml:space="preserve">Coop Pank - Interim report 9M 2026 (unaudited), p. 9,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9. </w:t>
      </w:r>
      <w:hyperlink r:id="rId11">
        <w:r>
          <w:rPr>
            <w:color w:val="2A78D6"/>
            <w:sz w:val="17"/>
          </w:rPr>
          <w:t xml:space="preserve">Coop Pank - Interim report 9M 2026 (unaudited), p. 5,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10. </w:t>
      </w:r>
      <w:hyperlink r:id="rId16">
        <w:r>
          <w:rPr>
            <w:color w:val="2A78D6"/>
            <w:sz w:val="17"/>
          </w:rPr>
          <w:t xml:space="preserve">Coop Pank - Interim report 9M 2026 (unaudited), p. 10,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11. </w:t>
      </w:r>
      <w:hyperlink r:id="rId13">
        <w:r>
          <w:rPr>
            <w:color w:val="2A78D6"/>
            <w:sz w:val="17"/>
          </w:rPr>
          <w:t xml:space="preserve">Coop Pank - Interim report 9M 2026 (unaudited), p. 6,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12. </w:t>
      </w:r>
      <w:hyperlink r:id="rId17">
        <w:r>
          <w:rPr>
            <w:color w:val="2A78D6"/>
            <w:sz w:val="17"/>
          </w:rPr>
          <w:t xml:space="preserve">Coop Pank - Q3 2026 results announcement,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13. </w:t>
      </w:r>
      <w:hyperlink r:id="rId18">
        <w:r>
          <w:rPr>
            <w:color w:val="2A78D6"/>
            <w:sz w:val="17"/>
          </w:rPr>
          <w:t xml:space="preserve">Coop Pank - Annual report 2025 (consolidated), p. 18, 2026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14. </w:t>
      </w:r>
      <w:hyperlink r:id="rId19">
        <w:r>
          <w:rPr>
            <w:color w:val="2A78D6"/>
            <w:sz w:val="17"/>
          </w:rPr>
          <w:t xml:space="preserve">Coop Pank - Interim report 9M 2026 (unaudited), p. 7,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15. </w:t>
      </w:r>
      <w:hyperlink r:id="rId21">
        <w:r>
          <w:rPr>
            <w:color w:val="2A78D6"/>
            <w:sz w:val="17"/>
          </w:rPr>
          <w:t xml:space="preserve">Coop Pank - Interim report 9M 2026 (unaudited), p. 23,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16. </w:t>
      </w:r>
      <w:hyperlink r:id="rId22">
        <w:r>
          <w:rPr>
            <w:color w:val="2A78D6"/>
            <w:sz w:val="17"/>
          </w:rPr>
          <w:t xml:space="preserve">Coop Pank - Interim report 9M 2026 (unaudited), p. 4, 7,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17. </w:t>
      </w:r>
      <w:hyperlink r:id="rId23">
        <w:r>
          <w:rPr>
            <w:color w:val="2A78D6"/>
            <w:sz w:val="17"/>
          </w:rPr>
          <w:t xml:space="preserve">Coop Pank - Targets and strategy,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18. </w:t>
      </w:r>
      <w:hyperlink r:id="rId24">
        <w:r>
          <w:rPr>
            <w:color w:val="2A78D6"/>
            <w:sz w:val="17"/>
          </w:rPr>
          <w:t xml:space="preserve">Coop Pank - Subordinated bonds page, 2026-10-22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19. </w:t>
      </w:r>
      <w:hyperlink r:id="rId25">
        <w:r>
          <w:rPr>
            <w:color w:val="2A78D6"/>
            <w:sz w:val="17"/>
          </w:rPr>
          <w:t xml:space="preserve">Coop Pank - Terms and Conditions of AT1 Temporary Write-Down Notes (4, 5(2), 7), 2023-03-15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20. </w:t>
      </w:r>
      <w:hyperlink r:id="rId19">
        <w:r>
          <w:rPr>
            <w:color w:val="2A78D6"/>
            <w:sz w:val="17"/>
          </w:rPr>
          <w:t xml:space="preserve">Coop Pank - Interim report 9M 2026 (unaudited), p. 7-8, 2026-10-20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21. </w:t>
      </w:r>
      <w:hyperlink r:id="rId26">
        <w:r>
          <w:rPr>
            <w:color w:val="2A78D6"/>
            <w:sz w:val="17"/>
          </w:rPr>
          <w:t xml:space="preserve">Coop Pank - Annual report 2025 (consolidated), p. 36-37, 2026</w:t>
        </w:r>
      </w:hyperlink>
    </w:p>
    <w:p>
      <w:pPr>
        <w:spacing w:after="20"/>
        <w:ind w:left="340" w:hanging="340"/>
      </w:pPr>
      <w:r>
        <w:rPr>
          <w:sz w:val="17"/>
        </w:rPr>
        <w:t xml:space="preserve">22. </w:t>
      </w:r>
      <w:hyperlink r:id="rId27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r>
        <w:rPr>
          <w:i/>
          <w:color w:val="5F6B7A"/>
          <w:sz w:val="16"/>
        </w:rPr>
        <w:t>Ataskaita parengta automatiškai iš viešų šaltinių. Skaičiai pateikiami taip, kaip juos skelbia emitentas; nuorodos [S#] veda į šaltinių sąrašą. Prieš naudojant sprendimui, analitikas turi peržiūrėti pažymėtus punktus.</w:t>
      </w:r>
    </w:p>
    <w:sectPr w:rsidR="00FC693F" w:rsidRPr="0006063C" w:rsidSect="00034616">
      <w:footerReference w:type="default" r:id="rId9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A"/>
        <w:sz w:val="16"/>
      </w:rPr>
      <w:t xml:space="preserve">Coop Pank · 9M2026 · 2026-10-22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oppank.ee/en/investor" TargetMode="External"/><Relationship Id="rId11" Type="http://schemas.openxmlformats.org/officeDocument/2006/relationships/hyperlink" Target="https://res30f.cooppank.ee/image/upload/investor_lehed/aruandlus/ENG/2026/Interim_report_9m_2026_EN.pdf#page=5" TargetMode="External"/><Relationship Id="rId12" Type="http://schemas.openxmlformats.org/officeDocument/2006/relationships/hyperlink" Target="https://view.news.eu.nasdaq.com/view?id=b2038756d5f89f1731d5413c841d20571&amp;lang=en&amp;src=listed" TargetMode="External"/><Relationship Id="rId13" Type="http://schemas.openxmlformats.org/officeDocument/2006/relationships/hyperlink" Target="https://res30f.cooppank.ee/image/upload/investor_lehed/aruandlus/ENG/2026/Interim_report_9m_2026_EN.pdf#page=6" TargetMode="External"/><Relationship Id="rId14" Type="http://schemas.openxmlformats.org/officeDocument/2006/relationships/hyperlink" Target="https://www.cooppank.ee/en/investor/reporting" TargetMode="External"/><Relationship Id="rId15" Type="http://schemas.openxmlformats.org/officeDocument/2006/relationships/hyperlink" Target="https://res30f.cooppank.ee/image/upload/investor_lehed/aruandlus/ENG/2026/Interim_report_9m_2026_EN.pdf#page=9" TargetMode="External"/><Relationship Id="rId16" Type="http://schemas.openxmlformats.org/officeDocument/2006/relationships/hyperlink" Target="https://res30f.cooppank.ee/image/upload/investor_lehed/aruandlus/ENG/2026/Interim_report_9m_2026_EN.pdf#page=10" TargetMode="External"/><Relationship Id="rId17" Type="http://schemas.openxmlformats.org/officeDocument/2006/relationships/hyperlink" Target="https://view.news.eu.nasdaq.com/view?id=b4b85a453f265185186c742780376177c&amp;lang=en&amp;src=listed" TargetMode="External"/><Relationship Id="rId18" Type="http://schemas.openxmlformats.org/officeDocument/2006/relationships/hyperlink" Target="https://res30f.cooppank.ee/image/upload/investor_lehed/uldkoosolekud/teated/eng/26/Coop_Pank_annual_report_consolidated_2025_eng.pdf#page=18" TargetMode="External"/><Relationship Id="rId19" Type="http://schemas.openxmlformats.org/officeDocument/2006/relationships/hyperlink" Target="https://res30f.cooppank.ee/image/upload/investor_lehed/aruandlus/ENG/2026/Interim_report_9m_2026_EN.pdf#page=7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res30f.cooppank.ee/image/upload/investor_lehed/aruandlus/ENG/2026/Interim_report_9m_2026_EN.pdf#page=23" TargetMode="External"/><Relationship Id="rId22" Type="http://schemas.openxmlformats.org/officeDocument/2006/relationships/hyperlink" Target="https://res30f.cooppank.ee/image/upload/investor_lehed/aruandlus/ENG/2026/Interim_report_9m_2026_EN.pdf#page=4" TargetMode="External"/><Relationship Id="rId23" Type="http://schemas.openxmlformats.org/officeDocument/2006/relationships/hyperlink" Target="https://www.cooppank.ee/en/investor/management/targets-and-strategy" TargetMode="External"/><Relationship Id="rId24" Type="http://schemas.openxmlformats.org/officeDocument/2006/relationships/hyperlink" Target="https://www.cooppank.ee/en/investor/bonds/subordinated-bonds" TargetMode="External"/><Relationship Id="rId25" Type="http://schemas.openxmlformats.org/officeDocument/2006/relationships/hyperlink" Target="https://res30f.cooppank.ee/image/upload/v1718006426/dokumendid/est/Terms_and_Conditions_of_Coop_Pank_AT1_Temporary_Write-Down_Notes_2022.pdf" TargetMode="External"/><Relationship Id="rId26" Type="http://schemas.openxmlformats.org/officeDocument/2006/relationships/hyperlink" Target="https://res30f.cooppank.ee/image/upload/investor_lehed/uldkoosolekud/teated/eng/26/Coop_Pank_annual_report_consolidated_2025_eng.pdf#page=36" TargetMode="External"/><Relationship Id="rId27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