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Luminor Bank</w:t>
      </w:r>
    </w:p>
    <w:p>
      <w:r>
        <w:rPr>
          <w:color w:val="5F6B7A"/>
          <w:sz w:val="24"/>
        </w:rPr>
        <w:t>Issuer review · 1H2026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Moody's - affirmed after the OTP announcement (grade to be confirmed; 2025 annual report refers to 'current A2 rating')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3Q 2026 interim report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Capital and liquidity are well above requirements, and Moody's kept the rating after the OTP Bank deal was announced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Profit fell about a fifth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The 7.75% bond XS2633112565 was redeemed in June 2026 and is no longer outstanding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(2Q2026)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37.4 EUR m</w:t>
            </w:r>
          </w:p>
          <w:p>
            <w:r>
              <w:rPr>
                <w:color w:val="5F6B7A"/>
                <w:sz w:val="16"/>
              </w:rPr>
              <w:t>▼ 19.0 % vs 2Q2025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7.7%</w:t>
            </w:r>
          </w:p>
          <w:p>
            <w:r>
              <w:rPr>
                <w:color w:val="5F6B7A"/>
                <w:sz w:val="16"/>
              </w:rPr>
              <w:t>▼ 0.9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ratio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19.6%</w:t>
            </w:r>
          </w:p>
          <w:p>
            <w:r>
              <w:rPr>
                <w:color w:val="5F6B7A"/>
                <w:sz w:val="16"/>
              </w:rPr>
              <w:t>▼ 1 p. p. vs 1H2025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LCR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187.0%</w:t>
            </w:r>
          </w:p>
          <w:p>
            <w:r>
              <w:rPr>
                <w:color w:val="5F6B7A"/>
                <w:sz w:val="16"/>
              </w:rPr>
              <w:t>▲ 23.7 p. p. vs 1H2025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Profit down about a fifth:</w:t>
      </w:r>
      <w:r>
        <w:rPr>
          <w:b w:val="0"/>
        </w:rPr>
        <w:t xml:space="preserve"> 1H 2026 net profit EUR 72.0m versus 91.6m a year ago; Q2 alone EUR 37.4m versus 46.2m. Return on equity 7.7%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Capital and liquidity well above requirements:</w:t>
      </w:r>
      <w:r>
        <w:rPr>
          <w:b w:val="0"/>
        </w:rPr>
        <w:t xml:space="preserve"> CET1 19.6% and total capital 23.7%. MREL 36.34% of TREA versus a 23.69% requirement plus buffers. Liquidity: LCR 187.0%, NSFR 142.3%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New owner coming:</w:t>
      </w:r>
      <w:r>
        <w:rPr>
          <w:b w:val="0"/>
        </w:rPr>
        <w:t xml:space="preserve"> on 2026-07-20 it was announced that OTP Bank will buy 100% of Luminor from the Blackstone-led consortium and DNB. Regulatory approvals are pending. Moody's kept the rating and outlook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Part of capital to be returned:</w:t>
      </w:r>
      <w:r>
        <w:rPr>
          <w:b w:val="0"/>
        </w:rPr>
        <w:t xml:space="preserve"> on 2026-07-17 the ECB approved a EUR 200.0m reduction of CET1 capital, expected in Q4 2026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Cheaper funding:</w:t>
      </w:r>
      <w:r>
        <w:rPr>
          <w:b w:val="0"/>
        </w:rPr>
        <w:t xml:space="preserve"> a EUR 300m senior bond at MS+4.471% was repaid and the first EUR 500m senior non-preferred bond was issued at MS+1.28%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3.551%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preferred; callable at par 2028-06-12, then 3M EURIBOR+1.55%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4.042%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preferred; callable at par 2027-09-10, then 3M EURIBOR+1.50%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7.375% perpetual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7.375%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Perpetual, issued 2025-02-12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202.2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157.7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91.6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72.0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21.4 %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interest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507.7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427.3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214.7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214.4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0.1 %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operating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632.8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544.7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269.5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271.7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0.8 %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Cost/income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54.5%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64.7%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60.1%ᶜ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65.5%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5.4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11.7%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8.6%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7.7%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Cost of risk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0.01%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0.14%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interest margin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3.33%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2.71%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2.84%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2.70%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0.14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Loans to customers,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10,535.4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11,491.4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10,820.5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11,903.2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10.0 %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Customer deposits,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11,352.7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11,510.7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11,240.5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12,275.5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9.2 %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ratio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20.1%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20.2%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20.6%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19.6%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capital ratio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22.7%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24.6%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25.2%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23.7%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1.5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Leverage ratio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9.1%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10.0%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10.3%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9.9%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0.4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MREL (% of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35.54%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36.34%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0.8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205.1%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174.6%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163.3%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187.0%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23.7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143.6%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134.1%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133.8%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142.3%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8.5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NPL ratio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1.8%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2.0%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1.7%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2.1%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0.4 p. p. vs 1H2025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e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Loans to customers EUR 11,903.2m (+3.6% since YE2025), deposits EUR 12,275.5m (+6.6%; changes calculated by the tool)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Net interest income 1H EUR 214.4m; net interest margin 2.70% (2025: 2.71%)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Cost/income 65.5% (2025:</w:t>
      </w:r>
      <w:r>
        <w:rPr>
          <w:b w:val="0"/>
        </w:rPr>
        <w:t xml:space="preserve"> 64.7%); cost of risk 0.14% (0.01%); NPL ratio 2.1% (2.0%)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EUR 74.0m of dividends for 2025 paid in 1H 2026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/>
        </w:rPr>
        <w:t>FY2025 net profit EUR 157.7m (2024:</w:t>
      </w:r>
      <w:r>
        <w:rPr>
          <w:b w:val="0"/>
        </w:rPr>
        <w:t xml:space="preserve"> 202.2m, −22.0%), ROE 8.6%, CET1 20.2%, total capital 24.6%</w:t>
      </w:r>
      <w:hyperlink r:id="rId1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FY2025 figures restated in the 2Q report:</w:t>
      </w:r>
      <w:r>
        <w:rPr>
          <w:b w:val="0"/>
        </w:rPr>
        <w:t xml:space="preserve"> net interest income EUR 427.3m (annual report: 419.8m), total income EUR 544.7m (537.2m)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Issue senior non-preferred bonds while keeping the current A2 rating (2025 annual report)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EUR 500m SNP issued in 1H 2026; Moody's affirmed the rating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Met: EUR 500m SNP issued at MS+1.28% while a EUR 300m senior bond at MS+4.471% was redeemed, so funding became cheaper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Reduce CET1 capital by EUR 200.0m (approval received 2026-07)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Planned for Q4 2026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plan: the ECB approved it on 2026-07-17. Capital is well above requirements (CET1 19.6%), so excess capital is returned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Owners: Blackstone-led consortium (80.05%) and DNB (19.95%) (2025 annual report)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Sale to OTP Bank (100%) announced 2026-07-20, approvals pending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Changed: the owners agreed to sell 100% to OTP Bank; Moody's affirmed the rating and outlook after the announcement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Revised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Instruments held:</w:t>
      </w:r>
      <w:r>
        <w:rPr>
          <w:b w:val="0"/>
        </w:rPr>
        <w:t xml:space="preserve"> two senior preferred bonds, 4.042% 2028 (issuer call at par 2027-09-10) and 3.551% 2029 (call 2028-06-12), and a 7.375% perpetual bond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 The 7.75% 2027 bond XS2633112565 had a call date of 2026-06-08 and Luminor redeemed this EUR 300m bond in 1H 2026, so it is no longer outstanding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For bondholders:</w:t>
      </w:r>
      <w:r>
        <w:rPr>
          <w:b w:val="0"/>
        </w:rPr>
        <w:t xml:space="preserve"> capital and MREL buffers are well above requirements and liquidity has increased. The EUR 200m CET1 reduction will lower the buffer; the bank does not state the impact on the CET1 ratio in the sources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OTP deal:</w:t>
      </w:r>
      <w:r>
        <w:rPr>
          <w:b w:val="0"/>
        </w:rPr>
        <w:t xml:space="preserve"> Moody's kept the rating and outlook after the announcement, so there is no rating impact so far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 Both held senior bonds can be called by the issuer at par, in 2027 and 2028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profitability is declining (1H profit −21%), but capital, MREL and liquidity have large buffers. The key event for holders is the change of owner to OTP. Watch: 3Q report, OTP deal approvals, the Q4 capital reduction.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bank is not active in excluded sectors.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Sustainable real estate and renewable energy lending is growing (EUR 305.4m in 2025)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 found in public sources and the news scan (2026-10-22).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AML fines reported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only regulatory note in 2025 was a Finantsinspektsioon precept on basic payment service procedures</w:t>
      </w:r>
      <w:hyperlink r:id="rId32">
        <w:r>
          <w:rPr>
            <w:color w:val="2A78D6"/>
            <w:vertAlign w:val="superscript"/>
            <w:sz w:val="16"/>
          </w:rPr>
          <w:t xml:space="preserve">26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Not found on the EU, UN, UK, US OFAC consolidated sanctions lists (automatic check 2026-10-22).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Namesake on the lists: Luminor Oy – a Finnish logistics company linked to Siberica Oy (per the EU list entry for Gabriel Temin), not Luminor Bank AS.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Namesake on the lists: Luminor Logistics – an alias in the same US OFAC entry group as Luminor Oy and Siberica Oy (logistics), not Luminor Bank AS.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adverse news found in the automatic news scan (last 30 days, 2026-10-22)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Most news is about the OTP Bank deal.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Sustainable real estate and renewable energy lending EUR 305.4m in 2025 (EUR 182.4m in 2024), target EUR 700m by 2030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or sustainability-linked bonds 7.4% of the bond portfolio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risk rating 18.4 (low risk)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Target to become climate neutral by 2050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Financed emissions measured with the PCAF method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or sustainability-linked bonds 7.4% of the bond portfolio, target 50% by 2030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yellow flags found.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Ownership will move to OTP Bank (Hungary) once approvals are received</w:t>
      </w:r>
      <w:hyperlink r:id="rId15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SEB sector policy for banks, so the Investments policy and the Environmental and Social &amp; Human Rights policies apply</w:t>
      </w:r>
      <w:hyperlink r:id="rId34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breach of governance or international norms found (quick search, 2026-10-22)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Financed emissions disclosed using PCAF (Scope 3 3.2m t CO2e in 2025)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Climate neutrality target for 2050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Sustainable real estate and renewable lending EUR 305.4m, target EUR 700m by 2030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risk rating 18.4 (low risk)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Human rights commitment</w:t>
      </w:r>
      <w:hyperlink r:id="rId35">
        <w:r>
          <w:rPr>
            <w:color w:val="2A78D6"/>
            <w:vertAlign w:val="superscript"/>
            <w:sz w:val="16"/>
          </w:rPr>
          <w:t xml:space="preserve">29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AML and sanctions compliance</w:t>
      </w:r>
      <w:hyperlink r:id="rId35">
        <w:r>
          <w:rPr>
            <w:color w:val="2A78D6"/>
            <w:vertAlign w:val="superscript"/>
            <w:sz w:val="16"/>
          </w:rPr>
          <w:t xml:space="preserve">29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Anti-bribery measures and whistleblowing channels</w:t>
      </w:r>
      <w:hyperlink r:id="rId36">
        <w:r>
          <w:rPr>
            <w:color w:val="2A78D6"/>
            <w:vertAlign w:val="superscript"/>
            <w:sz w:val="16"/>
          </w:rPr>
          <w:t xml:space="preserve">30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Could be improved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public lending exclusion list (coal, oil &amp; gas, weapons) or UN Global Compact membership found.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need: capital, liquidity and ESG practices are solid.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Financed emissions (Scope 3) 3.2m t CO2e in 2025, PCAF method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Women on the Supervisory Council 33.3% (target 40%)</w:t>
      </w:r>
      <w:hyperlink r:id="rId37">
        <w:r>
          <w:rPr>
            <w:color w:val="2A78D6"/>
            <w:vertAlign w:val="superscript"/>
            <w:sz w:val="16"/>
          </w:rPr>
          <w:t xml:space="preserve">31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risk rating 18.4, low risk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Solid ESG practice: financed emissions measured (PCAF), climate-neutrality target, growing green lending and a low ESG risk rating. Ownership moves to OTP Bank.</w:t>
      </w:r>
    </w:p>
    <w:p>
      <w:r>
        <w:rPr>
          <w:i/>
          <w:color w:val="5F6B7A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Final Terms Series 11 - 7.750% notes XS2633112565, 2023-06-06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2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5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7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8">
        <w:r>
          <w:rPr>
            <w:color w:val="2A78D6"/>
            <w:sz w:val="17"/>
          </w:rPr>
          <w:t xml:space="preserve">Luminor Bank - Annual report 2025, p. 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Luminor Bank - Interim report 2Q 2026, p. 9,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1">
        <w:r>
          <w:rPr>
            <w:color w:val="2A78D6"/>
            <w:sz w:val="17"/>
          </w:rPr>
          <w:t xml:space="preserve">Luminor Bank - Interim report 2Q 2026, p. 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2">
        <w:r>
          <w:rPr>
            <w:color w:val="2A78D6"/>
            <w:sz w:val="17"/>
          </w:rPr>
          <w:t xml:space="preserve">Luminor Bank - Interim report 2Q 2026, p. 7,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3">
        <w:r>
          <w:rPr>
            <w:color w:val="2A78D6"/>
            <w:sz w:val="17"/>
          </w:rPr>
          <w:t xml:space="preserve">Luminor Bank - Annual report 2025, p. 10,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4">
        <w:r>
          <w:rPr>
            <w:color w:val="2A78D6"/>
            <w:sz w:val="17"/>
          </w:rPr>
          <w:t xml:space="preserve">Luminor Bank - Interim report 2Q 2026, p. 8,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16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6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7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15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8">
        <w:r>
          <w:rPr>
            <w:color w:val="2A78D6"/>
            <w:sz w:val="17"/>
          </w:rPr>
          <w:t xml:space="preserve">Final Terms Series 13 - 4.042% notes XS2888497067, 2024-09-06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9">
        <w:r>
          <w:rPr>
            <w:color w:val="2A78D6"/>
            <w:sz w:val="17"/>
          </w:rPr>
          <w:t xml:space="preserve">Final Terms Series 15 - 3.551% notes XS3079969104, 2025-06-10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0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31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32">
        <w:r>
          <w:rPr>
            <w:color w:val="2A78D6"/>
            <w:sz w:val="17"/>
          </w:rPr>
          <w:t xml:space="preserve">Luminor Bank - Annual report 2025, p. 16,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3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4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35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6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31. </w:t>
      </w:r>
      <w:hyperlink r:id="rId37">
        <w:r>
          <w:rPr>
            <w:color w:val="2A78D6"/>
            <w:sz w:val="17"/>
          </w:rPr>
          <w:t xml:space="preserve">Luminor Bank - Annual report 2025, p. 29, 2026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Luminor Bank · 1H2026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luminor.lv/sites/default/files/docs/finansu_parskati/luminor_bank_interim_report_2q26.pdf#page=15" TargetMode="External"/><Relationship Id="rId11" Type="http://schemas.openxmlformats.org/officeDocument/2006/relationships/hyperlink" Target="https://luminor.lv/sites/default/files/docs/finansu_parskati/luminor_bank_annual_report_2025-lv.pdf#page=9" TargetMode="External"/><Relationship Id="rId12" Type="http://schemas.openxmlformats.org/officeDocument/2006/relationships/hyperlink" Target="https://luminor.lv/sites/default/files/docs/finansu_parskati/luminor_bank_interim_report_2q26.pdf#page=5" TargetMode="External"/><Relationship Id="rId13" Type="http://schemas.openxmlformats.org/officeDocument/2006/relationships/hyperlink" Target="https://luminor.ee/s3fs-public/documents/final-terms-11.pdf" TargetMode="External"/><Relationship Id="rId14" Type="http://schemas.openxmlformats.org/officeDocument/2006/relationships/hyperlink" Target="https://luminor.lv/sites/default/files/docs/finansu_parskati/luminor_bank_interim_report_2q26.pdf" TargetMode="External"/><Relationship Id="rId15" Type="http://schemas.openxmlformats.org/officeDocument/2006/relationships/hyperlink" Target="https://luminor.lv/sites/default/files/docs/finansu_parskati/luminor_bank_interim_report_2q26.pdf#page=4" TargetMode="External"/><Relationship Id="rId16" Type="http://schemas.openxmlformats.org/officeDocument/2006/relationships/hyperlink" Target="https://luminor.lv/sites/default/files/docs/finansu_parskati/luminor_bank_annual_report_2025-lv.pdf#page=7" TargetMode="External"/><Relationship Id="rId17" Type="http://schemas.openxmlformats.org/officeDocument/2006/relationships/hyperlink" Target="https://luminor.lv/sites/default/files/docs/finansu_parskati/luminor_bank_interim_report_2q26.pdf#page=16" TargetMode="External"/><Relationship Id="rId18" Type="http://schemas.openxmlformats.org/officeDocument/2006/relationships/hyperlink" Target="https://luminor.lv/sites/default/files/docs/finansu_parskati/luminor_bank_annual_report_2025-lv.pdf#page=2" TargetMode="External"/><Relationship Id="rId19" Type="http://schemas.openxmlformats.org/officeDocument/2006/relationships/hyperlink" Target="https://luminor.lv/sites/default/files/docs/finansu_parskati/luminor_bank_interim_report_2q26.pdf#page=9" TargetMode="External"/><Relationship Id="rId20" Type="http://schemas.openxmlformats.org/officeDocument/2006/relationships/hyperlink" Target="https://luminor.lv/sites/default/files/docs/finansu_parskati/luminor_bank_annual_report_2025-lv.pdf#page=8" TargetMode="External"/><Relationship Id="rId21" Type="http://schemas.openxmlformats.org/officeDocument/2006/relationships/hyperlink" Target="https://luminor.lv/sites/default/files/docs/finansu_parskati/luminor_bank_interim_report_2q26.pdf#page=6" TargetMode="External"/><Relationship Id="rId22" Type="http://schemas.openxmlformats.org/officeDocument/2006/relationships/hyperlink" Target="https://luminor.lv/sites/default/files/docs/finansu_parskati/luminor_bank_interim_report_2q26.pdf#page=7" TargetMode="External"/><Relationship Id="rId23" Type="http://schemas.openxmlformats.org/officeDocument/2006/relationships/hyperlink" Target="https://luminor.lv/sites/default/files/docs/finansu_parskati/luminor_bank_annual_report_2025-lv.pdf#page=10" TargetMode="External"/><Relationship Id="rId24" Type="http://schemas.openxmlformats.org/officeDocument/2006/relationships/hyperlink" Target="https://luminor.lv/sites/default/files/docs/finansu_parskati/luminor_bank_interim_report_2q26.pdf#page=8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luminor.lv/sites/default/files/docs/finansu_parskati/luminor_bank_annual_report_2025-lv.pdf" TargetMode="External"/><Relationship Id="rId27" Type="http://schemas.openxmlformats.org/officeDocument/2006/relationships/hyperlink" Target="https://luminor.lv/sites/default/files/docs/finansu_parskati/luminor_bank_annual_report_2025-lv.pdf#page=5" TargetMode="External"/><Relationship Id="rId28" Type="http://schemas.openxmlformats.org/officeDocument/2006/relationships/hyperlink" Target="https://luminor.ee/s3fs-public/documents/final-terms-13.pdf" TargetMode="External"/><Relationship Id="rId29" Type="http://schemas.openxmlformats.org/officeDocument/2006/relationships/hyperlink" Target="https://luminor.ee/s3fs-public/documents/final-terms-15.pdf" TargetMode="External"/><Relationship Id="rId30" Type="http://schemas.openxmlformats.org/officeDocument/2006/relationships/hyperlink" Target="https://luminor.lv/en/placements" TargetMode="External"/><Relationship Id="rId31" Type="http://schemas.openxmlformats.org/officeDocument/2006/relationships/hyperlink" Target="https://luminor.lv/sites/default/files/docs/finansu_parskati/luminor_bank_annual_report_2025-lv.pdf#page=19" TargetMode="External"/><Relationship Id="rId32" Type="http://schemas.openxmlformats.org/officeDocument/2006/relationships/hyperlink" Target="https://luminor.lv/sites/default/files/docs/finansu_parskati/luminor_bank_annual_report_2025-lv.pdf#page=16" TargetMode="External"/><Relationship Id="rId33" Type="http://schemas.openxmlformats.org/officeDocument/2006/relationships/hyperlink" Target="https://luminor.lv/sites/default/files/docs/finansu_parskati/luminor_bank_annual_report_2025-lv.pdf#page=22" TargetMode="External"/><Relationship Id="rId34" Type="http://schemas.openxmlformats.org/officeDocument/2006/relationships/hyperlink" Target="https://sebgroup.com/sustainability/our-sustainability-strategy/policies" TargetMode="External"/><Relationship Id="rId35" Type="http://schemas.openxmlformats.org/officeDocument/2006/relationships/hyperlink" Target="https://luminor.lv/sites/default/files/docs/finansu_parskati/luminor_bank_annual_report_2025-lv.pdf#page=18" TargetMode="External"/><Relationship Id="rId36" Type="http://schemas.openxmlformats.org/officeDocument/2006/relationships/hyperlink" Target="https://luminor.lv/sites/default/files/docs/finansu_parskati/luminor_bank_annual_report_2025-lv.pdf#page=23" TargetMode="External"/><Relationship Id="rId37" Type="http://schemas.openxmlformats.org/officeDocument/2006/relationships/hyperlink" Target="https://luminor.lv/sites/default/files/docs/finansu_parskati/luminor_bank_annual_report_2025-lv.pdf#page=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