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Valstybės investicinis kapitalas (VIK)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Fitch A+ on the EUR 400m bond programme, linked to Lithuania's rating through the state guarantee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VIK 100 % priklauso valstybei, obligacijų programai Fitch suteikė A+ reitingą, susietą su valstybės garantija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pelnas 7,1 mln. EUR, nuosavo kapitalo dalis 70 % (apskaičiuota įrankio)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Turtas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169,4 mln. EUR</w:t>
            </w:r>
          </w:p>
          <w:p>
            <w:r>
              <w:rPr>
                <w:color w:val="5F6B7A"/>
                <w:sz w:val="16"/>
              </w:rPr>
              <w:t>▼ 7,4 %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Nuosavas kapitalas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118,9 mln. EUR</w:t>
            </w:r>
          </w:p>
          <w:p>
            <w:r>
              <w:rPr>
                <w:color w:val="5F6B7A"/>
                <w:sz w:val="16"/>
              </w:rPr>
              <w:t>▲ 10,2 %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70,1 %</w:t>
            </w:r>
          </w:p>
          <w:p>
            <w:r>
              <w:rPr>
                <w:color w:val="5F6B7A"/>
                <w:sz w:val="16"/>
              </w:rPr>
              <w:t>▲ 11,1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7,13 mln. EUR</w:t>
            </w:r>
          </w:p>
          <w:p>
            <w:r>
              <w:rPr>
                <w:color w:val="5F6B7A"/>
                <w:sz w:val="16"/>
              </w:rPr>
              <w:t>▲ 9 012,5 %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2025 m. VIK įsigijo 49 % EPSO-G Invest (36,3 mln. EUR), kuri valdo 48 % Rheinmetall Defence Lietuva; gamyklos statyba pradėta 2025-11-04</w:t>
      </w:r>
      <w:hyperlink r:id="rId1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 m. pasirašytas memorandumas su Rheinmetall Landsysteme ir KNDS Deutschland dėl ~50 mln. EUR techninės priežiūros centro Kauno LEZ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2026-02 akcininkas nusprendė perduoti VIK akcijas valstybės valdomai ILTE (reikia Vyriausybės pritarimo)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2025 m. pelnas 3,8 mln. EUR (2024 m. – 8,1 mln.); išleistų obligacijų likutis 2026-06-30 – apie 50,6 mln. EUR (apskaičiuota įrankio)</w:t>
      </w:r>
      <w:hyperlink r:id="rId18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Grąžinta 120,5 mln. EUR (60 %)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investuota 36 mln. EUR; statyba vyksta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Vykdoma; finansuojama ir 25 mln. EUR gynybos obligacijomis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Kontroversiškų ar branduolinių ginklų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investuoja į įprastinę gynybos pramonę (Rheinmetall amunicijos gamykla Lietuvoje)</w:t>
      </w:r>
      <w:hyperlink r:id="rId14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ginklų ir gynybos politika riboja tik kontroversiškus ginklus, branduolinius ginklus ne NATO šalyse, civilinius pusiau automatinius ginklus ir nelicencijuotą prekybą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nurodo, kad tvarumas nėra pagrindinis jos tikslas – prioritetas yra gynyba ir saugumas</w:t>
      </w:r>
      <w:hyperlink r:id="rId2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ar taksonomijos tikslų nėra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Žalieji pirkimai per CPO LT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Taikomas Nasdaq Vilnius valdysenos kodeksas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</w:t>
      </w:r>
      <w:hyperlink r:id="rId24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ir ginklų bei gynybos politika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Investicijos į licencijuotą gynybos gamybą NATO šalyje, be kontroversiškų ar branduolinių ginklų</w:t>
      </w:r>
      <w:hyperlink r:id="rId14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Valdysenos kodeksas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ESG politikos viešai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valstybės įmonė su aiškiu gynybos mandatu.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Nuosavų patalpų ir turto VIK neturi, todėl tiesioginis poveikis aplinkai nedidelis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Fondui svarbiausias PAI rodiklis – ginklų sektoriaus poveikis: tik įprastiniai ginklai</w:t>
      </w:r>
      <w:hyperlink r:id="rId28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Investuoja į įprastinę gynybos pramonę (leidžiama pagal SEB politiką); tvarumas nėra prioritetas.</w:t>
      </w:r>
    </w:p>
    <w:p>
      <w:r>
        <w:rPr>
          <w:i/>
          <w:color w:val="5F6B7A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0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4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2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4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5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2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3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5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4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5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6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4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8">
        <w:r>
          <w:rPr>
            <w:color w:val="2A78D6"/>
            <w:sz w:val="17"/>
          </w:rPr>
          <w:t xml:space="preserve">VIK - Annual report 2025 (audited), p. 8,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Valstybės investicinis kapitalas (VIK)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vika/2026_q2_en_esef.pdf#page=10" TargetMode="External"/><Relationship Id="rId11" Type="http://schemas.openxmlformats.org/officeDocument/2006/relationships/hyperlink" Target="https://nasdaqbaltic.com/market/upload/reports/vika/2026_q2_en_esef.pdf#page=9" TargetMode="External"/><Relationship Id="rId12" Type="http://schemas.openxmlformats.org/officeDocument/2006/relationships/hyperlink" Target="https://nasdaqbaltic.com/market/upload/reports/vika/2026_q2_en_esef.pdf#page=20" TargetMode="External"/><Relationship Id="rId13" Type="http://schemas.openxmlformats.org/officeDocument/2006/relationships/hyperlink" Target="https://nasdaqbaltic.com/market/upload/reports/vika/2026_q2_en_esef.pdf#page=4" TargetMode="External"/><Relationship Id="rId14" Type="http://schemas.openxmlformats.org/officeDocument/2006/relationships/hyperlink" Target="https://nasdaqbaltic.com/market/upload/reports/vika/2025_ar_en_esef.pdf#page=5" TargetMode="External"/><Relationship Id="rId15" Type="http://schemas.openxmlformats.org/officeDocument/2006/relationships/hyperlink" Target="https://nasdaqbaltic.com/market/upload/reports/vika/2026_q2_en_esef.pdf#page=8" TargetMode="External"/><Relationship Id="rId16" Type="http://schemas.openxmlformats.org/officeDocument/2006/relationships/hyperlink" Target="https://nasdaqbaltic.com/market/upload/reports/vika/2025_ar_en_esef.pdf#page=7" TargetMode="External"/><Relationship Id="rId17" Type="http://schemas.openxmlformats.org/officeDocument/2006/relationships/hyperlink" Target="https://nasdaqbaltic.com/market/upload/reports/vika/2025_q2_en_con.pdf#page=3" TargetMode="External"/><Relationship Id="rId18" Type="http://schemas.openxmlformats.org/officeDocument/2006/relationships/hyperlink" Target="https://nasdaqbaltic.com/market/upload/reports/vika/2025_ar_en_esef.pdf#page=22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vika/2025_ar_en_esef.pdf#page=14" TargetMode="External"/><Relationship Id="rId21" Type="http://schemas.openxmlformats.org/officeDocument/2006/relationships/hyperlink" Target="https://nasdaqbaltic.com/market/upload/reports/vika/2025_q2_en_con.pdf#page=5" TargetMode="External"/><Relationship Id="rId22" Type="http://schemas.openxmlformats.org/officeDocument/2006/relationships/hyperlink" Target="https://nasdaqbaltic.com/market/upload/reports/vika/2026_q2_en_esef.pdf#page=17" TargetMode="External"/><Relationship Id="rId23" Type="http://schemas.openxmlformats.org/officeDocument/2006/relationships/hyperlink" Target="https://nasdaqbaltic.com/market/upload/reports/vika/2025_ar_en_esef.pdf#page=11" TargetMode="External"/><Relationship Id="rId24" Type="http://schemas.openxmlformats.org/officeDocument/2006/relationships/hyperlink" Target="https://sebgroup.com/sustainability/our-sustainability-strategy/policies" TargetMode="External"/><Relationship Id="rId25" Type="http://schemas.openxmlformats.org/officeDocument/2006/relationships/hyperlink" Target="https://nasdaqbaltic.com/market/upload/reports/vika/2026_q2_en_esef.pdf#page=13" TargetMode="External"/><Relationship Id="rId26" Type="http://schemas.openxmlformats.org/officeDocument/2006/relationships/hyperlink" Target="https://nasdaqbaltic.com/market/upload/reports/vika/2026_q2_en_esef.pdf#page=14" TargetMode="External"/><Relationship Id="rId27" Type="http://schemas.openxmlformats.org/officeDocument/2006/relationships/hyperlink" Target="https://nasdaqbaltic.com/market/upload/reports/vika/2026_q2_en_esef.pdf#page=35" TargetMode="External"/><Relationship Id="rId28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