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Ignitis grupė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S&amp;P BBB+ (stable), 2026-07-28; Moody's Baa1 (stable), 2026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interim report - 2026-11-11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Credit quality is stable: BBB+ / Baa1 ratings and leverage of 3.49x, inside the 3-4x target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is weaker, but the 2026 guidance was kept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The held bond XS1646530565 is subject to the issuer's tender offer of 2026-10-19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306.6 EUR m</w:t>
            </w:r>
          </w:p>
          <w:p>
            <w:r>
              <w:rPr>
                <w:color w:val="5F6B7A"/>
                <w:sz w:val="16"/>
              </w:rPr>
              <w:t>▲ 1.9 %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115.8 EUR m</w:t>
            </w:r>
          </w:p>
          <w:p>
            <w:r>
              <w:rPr>
                <w:color w:val="5F6B7A"/>
                <w:sz w:val="16"/>
              </w:rPr>
              <w:t>▼ 20.8 %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1,925.3 EUR m</w:t>
            </w:r>
          </w:p>
          <w:p>
            <w:r>
              <w:rPr>
                <w:color w:val="5F6B7A"/>
                <w:sz w:val="16"/>
              </w:rPr>
              <w:t>▲ 19.6 %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3.49x</w:t>
            </w:r>
          </w:p>
          <w:p>
            <w:r>
              <w:rPr>
                <w:color w:val="5F6B7A"/>
                <w:sz w:val="16"/>
              </w:rPr>
              <w:t>▲ 0.5x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green notes 2027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1.875% green notes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Free cash flow,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3.49x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22.2%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ROCE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6.7%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Installed green capacity, GW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1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1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2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 w:val="0"/>
        </w:rPr>
        <w:t>6M revenue EUR 1,497.5m (+15.4%), EBITDA EUR 303.5m (262.5m), net profit EUR 113.2m (111.4m)</w:t>
      </w:r>
      <w:hyperlink r:id="rId18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FFO EUR 251.4m (+11.3%), free cash flow EUR 5.3m (64.0m); investments EUR 306.1m (343.2m, −10.8%)</w:t>
      </w:r>
      <w:hyperlink r:id="rId2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306.6m; guidance reiterated 2026-08-12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6M: EUR 306.1m (44-52% of the range)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YE2025: 21.0%; 30 Jun 2026 (LTM): 22.2%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E7E5"/>
          </w:tcPr>
          <w:p>
            <w:pPr>
              <w:spacing w:after="0"/>
            </w:pPr>
            <w:r/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3.49x; S&amp;P BBB+, Moody's Baa1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EUR 1.366 (+3.0%); H1 2026: EUR 0.704 (+3.1%)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2.1 GW installed, 0.7 GW under construction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2.1 GW installed + 0.7 GW under construction = 2.8 GW, the bottom of the target range (calculated by the tool)</w:t>
            </w:r>
            <w:hyperlink r:id="rId35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0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generation and no oil &amp; gas exploration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Owns the gas-fired Elektrėnai complex (reserve capacity) and supplies gas - not restricted by the SEB fossil fuel policy (restricts coal &gt;5% of revenue and new exploration).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red flags (UNGC / OECD breaches) found in public sources and the news scan (2026-10-22).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Ignitis states it upholds the UN Global Compact principles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(Lithuanian, Latvian, Estonian and English media, last 30 days,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Core activities are green generation (2.1 GW installed, 0.6 GW under construction) and power networks</w:t>
      </w:r>
      <w:hyperlink r:id="rId18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bonds and a new EU Green Bond Standard (EuGB) bond</w:t>
      </w:r>
      <w:hyperlink r:id="rId17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capex 84.7% in 2025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targets in line with 1.5°C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Net zero by 2050 or sooner</w:t>
      </w:r>
      <w:hyperlink r:id="rId36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397"/>
      </w:pPr>
      <w:r>
        <w:rPr>
          <w:b/>
          <w:color w:val="333333"/>
          <w:sz w:val="19"/>
        </w:rPr>
        <w:t>No material yellow flag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related controversies found.</w:t>
      </w:r>
    </w:p>
    <w:p>
      <w:pPr>
        <w:spacing w:after="0"/>
        <w:ind w:left="397"/>
      </w:pPr>
      <w:r>
        <w:rPr>
          <w:b/>
          <w:color w:val="333333"/>
          <w:sz w:val="19"/>
        </w:rPr>
        <w:t>To note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 contractor employee was fatally injured in February 2026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rose 54.7% in 2025 due to higher gas generation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Safety is managed under ISO 45001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38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>, the Electricity &amp; Renewable Energy policy, since green generation and networks make up more than 15% of revenue</w:t>
      </w:r>
      <w:hyperlink r:id="rId3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, and the Fossil Fuels policy for gas distribution, gas supply and the Elektrėnai reserve plants.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gas revenue share was not found</w:t>
      </w:r>
      <w:hyperlink r:id="rId40">
        <w:r>
          <w:rPr>
            <w:color w:val="2A78D6"/>
            <w:vertAlign w:val="superscript"/>
            <w:sz w:val="16"/>
          </w:rPr>
          <w:t xml:space="preserve">36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6"/>
          </w:rPr>
          <w:t xml:space="preserve">37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Requirements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1-3 emissions disclosed (4.49m t CO2e in 2025) and SBTi-validated 1.5°C targets</w:t>
      </w:r>
      <w:hyperlink r:id="rId42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14001 environmental management at ESO, Ignitis gamyba, Ignitis and the Vilnius and Kaunas CHPs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coal, peat or oil &amp; gas extraction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Expectations 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45001 safety management, no fatal accidents in 2025</w:t>
      </w:r>
      <w:hyperlink r:id="rId43">
        <w:r>
          <w:rPr>
            <w:color w:val="2A78D6"/>
            <w:vertAlign w:val="superscript"/>
            <w:sz w:val="16"/>
          </w:rPr>
          <w:t xml:space="preserve">39</w:t>
        </w:r>
      </w:hyperlink>
      <w:r>
        <w:rPr>
          <w:color w:val="2A78D6"/>
          <w:vertAlign w:val="superscript"/>
        </w:rPr>
        <w:t>,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Trust line for anonymous reports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Anti-corruption policy and ISO 37001 certification</w:t>
      </w:r>
      <w:hyperlink r:id="rId37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6"/>
          </w:rPr>
          <w:t xml:space="preserve">40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UN Global Compact</w:t>
      </w:r>
      <w:hyperlink r:id="rId42">
        <w:r>
          <w:rPr>
            <w:color w:val="2A78D6"/>
            <w:vertAlign w:val="superscript"/>
            <w:sz w:val="16"/>
          </w:rPr>
          <w:t xml:space="preserve">41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Integrated annual report with climate data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Biodiversity monitoring and mitigation measures</w:t>
      </w:r>
      <w:hyperlink r:id="rId45">
        <w:r>
          <w:rPr>
            <w:color w:val="2A78D6"/>
            <w:vertAlign w:val="superscript"/>
            <w:sz w:val="16"/>
          </w:rPr>
          <w:t xml:space="preserve">42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named human rights due diligence process or quantified biodiversity targets are published</w:t>
      </w:r>
      <w:hyperlink r:id="rId39">
        <w:r>
          <w:rPr>
            <w:color w:val="2A78D6"/>
            <w:vertAlign w:val="superscript"/>
            <w:sz w:val="16"/>
          </w:rPr>
          <w:t xml:space="preserve">43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the company meets SEB policy expectations and has no red flags.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Total GHG emissions 4.49m t CO2e in 2025 (+10.1%)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Carbon intensity (Scope 1+2) 214 g CO2e/kWh in Q1 2026 (−12.8%)</w:t>
      </w:r>
      <w:hyperlink r:id="rId33">
        <w:r>
          <w:rPr>
            <w:color w:val="2A78D6"/>
            <w:vertAlign w:val="superscript"/>
            <w:sz w:val="16"/>
          </w:rPr>
          <w:t xml:space="preserve">24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capex 84.7%</w:t>
      </w:r>
      <w:hyperlink r:id="rId26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SBTi-validated 1.5°C targets</w:t>
      </w:r>
      <w:hyperlink r:id="rId46">
        <w:r>
          <w:rPr>
            <w:color w:val="2A78D6"/>
            <w:vertAlign w:val="superscript"/>
            <w:sz w:val="16"/>
          </w:rPr>
          <w:t xml:space="preserve">44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Strong green profile: 84.7% Taxonomy-aligned capex and SBTi-validated targets. Worth watching: higher gas generation in 2025 and contractor safety.</w:t>
      </w:r>
    </w:p>
    <w:p>
      <w:r>
        <w:rPr>
          <w:i/>
          <w:color w:val="5F6B7A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Credit ratings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5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6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7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8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9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21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2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3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4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5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6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7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8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30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8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31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32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3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8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2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12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5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6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7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8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40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41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42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39. </w:t>
      </w:r>
      <w:hyperlink r:id="rId43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40. </w:t>
      </w:r>
      <w:hyperlink r:id="rId44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41. </w:t>
      </w:r>
      <w:hyperlink r:id="rId42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42. </w:t>
      </w:r>
      <w:hyperlink r:id="rId45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43. </w:t>
      </w:r>
      <w:hyperlink r:id="rId39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44. </w:t>
      </w:r>
      <w:hyperlink r:id="rId46">
        <w:r>
          <w:rPr>
            <w:color w:val="2A78D6"/>
            <w:sz w:val="17"/>
          </w:rPr>
          <w:t xml:space="preserve">Integrated Annual Report 2025, p. 9, 2026-02-25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Ignitis grupė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ignitisgrupe.lt/en/investors/credit-ratings" TargetMode="External"/><Relationship Id="rId11" Type="http://schemas.openxmlformats.org/officeDocument/2006/relationships/hyperlink" Target="https://ignitisgrupe.lt/sites/default/files/public/inline-files/First%20six%20months%202026%20interim%20report.pdf#page=14" TargetMode="External"/><Relationship Id="rId12" Type="http://schemas.openxmlformats.org/officeDocument/2006/relationships/hyperlink" Target="https://ignitisgrupe.lt/sites/default/files/public/inline-files/First%20six%20months%202026%20interim%20report.pdf#page=10" TargetMode="External"/><Relationship Id="rId13" Type="http://schemas.openxmlformats.org/officeDocument/2006/relationships/hyperlink" Target="https://ignitisgrupe.lt/en/news/ignitis-group-reports-sustained-strategic-progress-and-consistent-financial-performance-first" TargetMode="External"/><Relationship Id="rId14" Type="http://schemas.openxmlformats.org/officeDocument/2006/relationships/hyperlink" Target="https://ignitisgrupe.lt/en/investors/bonds" TargetMode="External"/><Relationship Id="rId15" Type="http://schemas.openxmlformats.org/officeDocument/2006/relationships/hyperlink" Target="https://ignitisgrupe.lt/sites/default/files/public/inline-files/First%20six%20months%202026%20interim%20report.pdf#page=24" TargetMode="External"/><Relationship Id="rId16" Type="http://schemas.openxmlformats.org/officeDocument/2006/relationships/hyperlink" Target="https://ignitisgrupe.lt/sites/default/files/public/inline-files/Ignitis%20Group%20Strategic%20Plan%202026%202029.pdf" TargetMode="External"/><Relationship Id="rId17" Type="http://schemas.openxmlformats.org/officeDocument/2006/relationships/hyperlink" Target="https://ignitisgrupe.lt/en/news/ignitis-group-prices-its-inaugural-eur-300-million-5-year-eugb-bonds" TargetMode="External"/><Relationship Id="rId18" Type="http://schemas.openxmlformats.org/officeDocument/2006/relationships/hyperlink" Target="https://ignitisgrupe.lt/sites/default/files/public/inline-files/First%20six%20months%202026%20interim%20report.pdf#page=11" TargetMode="External"/><Relationship Id="rId19" Type="http://schemas.openxmlformats.org/officeDocument/2006/relationships/hyperlink" Target="https://ignitisgrupe.lt/sites/default/files/public/inline-files/First%20six%20months%202026%20interim%20report.pdf#page=23" TargetMode="External"/><Relationship Id="rId20" Type="http://schemas.openxmlformats.org/officeDocument/2006/relationships/hyperlink" Target="https://ignitisgrupe.lt/sites/default/files/public/inline-files/Integrated%20Annual%20Report%202025.pdf#page=14" TargetMode="External"/><Relationship Id="rId21" Type="http://schemas.openxmlformats.org/officeDocument/2006/relationships/hyperlink" Target="https://ignitisgrupe.lt/en/news/ignitis-group-2025-results-record-strategic-progress-07-gw-new-green-capacities-installed" TargetMode="External"/><Relationship Id="rId22" Type="http://schemas.openxmlformats.org/officeDocument/2006/relationships/hyperlink" Target="https://ignitisgrupe.lt/sites/default/files/public/inline-files/First%20six%20months%202026%20interim%20report.pdf#page=29" TargetMode="External"/><Relationship Id="rId23" Type="http://schemas.openxmlformats.org/officeDocument/2006/relationships/hyperlink" Target="https://ignitisgrupe.lt/sites/default/files/public/inline-files/First%20six%20months%202026%20interim%20report.pdf#page=36" TargetMode="External"/><Relationship Id="rId24" Type="http://schemas.openxmlformats.org/officeDocument/2006/relationships/hyperlink" Target="https://ignitisgrupe.lt/sites/default/files/public/inline-files/First%20six%20months%202026%20interim%20report.pdf#page=32" TargetMode="External"/><Relationship Id="rId25" Type="http://schemas.openxmlformats.org/officeDocument/2006/relationships/hyperlink" Target="https://ignitisgrupe.lt/sites/default/files/public/inline-files/First%20six%20months%202026%20interim%20report.pdf#page=33" TargetMode="External"/><Relationship Id="rId26" Type="http://schemas.openxmlformats.org/officeDocument/2006/relationships/hyperlink" Target="https://ignitisgrupe.lt/sites/default/files/public/inline-files/Integrated%20Annual%20Report%202025.pdf" TargetMode="External"/><Relationship Id="rId27" Type="http://schemas.openxmlformats.org/officeDocument/2006/relationships/hyperlink" Target="https://ignitisgrupe.lt/sites/default/files/public/inline-files/Integrated%20Annual%20Report%202025.pdf#page=11" TargetMode="External"/><Relationship Id="rId28" Type="http://schemas.openxmlformats.org/officeDocument/2006/relationships/hyperlink" Target="https://ignitisgrupe.lt/sites/default/files/public/inline-files/First%20six%20months%202026%20interim%20report.pdf#page=37" TargetMode="External"/><Relationship Id="rId29" Type="http://schemas.openxmlformats.org/officeDocument/2006/relationships/image" Target="media/image1.png"/><Relationship Id="rId30" Type="http://schemas.openxmlformats.org/officeDocument/2006/relationships/hyperlink" Target="https://ignitisgrupe.lt/sites/default/files/public/inline-files/First%20six%20months%202026%20interim%20report.pdf#page=5" TargetMode="External"/><Relationship Id="rId31" Type="http://schemas.openxmlformats.org/officeDocument/2006/relationships/hyperlink" Target="https://ignitisgrupe.lt/sites/default/files/public/inline-files/Transcript.%20Investor%20presentation_6M%202026%20results.pdf" TargetMode="External"/><Relationship Id="rId32" Type="http://schemas.openxmlformats.org/officeDocument/2006/relationships/hyperlink" Target="https://ignitisgrupe.lt/sites/default/files/public/inline-files/First%20six%20months%202026%20interim%20report.pdf#page=6" TargetMode="External"/><Relationship Id="rId33" Type="http://schemas.openxmlformats.org/officeDocument/2006/relationships/hyperlink" Target="https://data.fca.org.uk/artefacts/NSM/GNW/b8cfd694-6694-4d57-bf10-2bb5ed7ce1a4.html" TargetMode="External"/><Relationship Id="rId34" Type="http://schemas.openxmlformats.org/officeDocument/2006/relationships/hyperlink" Target="https://ignitisgrupe.lt/sites/default/files/public/inline-files/Integrated%20Annual%20Report%202025.pdf#page=27" TargetMode="External"/><Relationship Id="rId35" Type="http://schemas.openxmlformats.org/officeDocument/2006/relationships/hyperlink" Target="https://ignitisgrupe.lt/sites/default/files/public/inline-files/First%20six%20months%202026%20interim%20report.pdf#page=17" TargetMode="External"/><Relationship Id="rId36" Type="http://schemas.openxmlformats.org/officeDocument/2006/relationships/hyperlink" Target="https://ignitisgrupe.lt/sites/default/files/public/inline-files/Integrated%20Annual%20Report%202025.pdf#page=10" TargetMode="External"/><Relationship Id="rId37" Type="http://schemas.openxmlformats.org/officeDocument/2006/relationships/hyperlink" Target="https://ignitisgrupe.lt/tvarumo-valdymas/politikos-ir-sertifikatai" TargetMode="External"/><Relationship Id="rId38" Type="http://schemas.openxmlformats.org/officeDocument/2006/relationships/hyperlink" Target="https://sebgroup.com/sustainability/our-sustainability-strategy/policies" TargetMode="External"/><Relationship Id="rId39" Type="http://schemas.openxmlformats.org/officeDocument/2006/relationships/hyperlink" Target="https://webapp.sebgroup.com/mb/mblib.nsf/dld/60D2454400789893C12587D70030AFC1?opendocument" TargetMode="External"/><Relationship Id="rId40" Type="http://schemas.openxmlformats.org/officeDocument/2006/relationships/hyperlink" Target="https://ignitisgrupe.lt/sites/default/files/public/inline-files/Integrated%20Annual%20Report%202025.pdf#page=24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ignitisgrupe.lt/sites/default/files/public/inline-files/Integrated%20Annual%20Report%202025.pdf#page=8" TargetMode="External"/><Relationship Id="rId43" Type="http://schemas.openxmlformats.org/officeDocument/2006/relationships/hyperlink" Target="https://ignitisgrupe.lt/sites/default/files/public/inline-files/Integrated%20Annual%20Report%202025.pdf#page=16" TargetMode="External"/><Relationship Id="rId44" Type="http://schemas.openxmlformats.org/officeDocument/2006/relationships/hyperlink" Target="https://ignitisgrupe.lt/tvarumo-prioritetai/verslo-etika" TargetMode="External"/><Relationship Id="rId45" Type="http://schemas.openxmlformats.org/officeDocument/2006/relationships/hyperlink" Target="https://ignitisgrupe.lt/tvarumo-prioritetai/gamta" TargetMode="External"/><Relationship Id="rId46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