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Kredito kokybė stabili: BBB+ / Baa1 reitingai, svertas 3,49x – 3–4x tikslo ribose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silpnesnis, bet 2026 m. prognozė palikta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Turimai obligacijai XS1646530565 taikomas 2026-10-19 emitento supirkimo pasiūlymas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19,6 %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▲ 0,5x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22,2 %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6,7 %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generacijos nėra, naftos ir dujų žvalgybos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skelbia, kad laikosi UN Global Compact principų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(lietuvių, latvių, estų ir anglų žiniasklaida, paskutinės 30 d., 2026-10-22) neigiamų naujienų nerado.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patvirtino tikslus pagal 1,5 °C trajektoriją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Nulinė emisija iki 2050 m. ar anksčiau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Reikšmingų geltonų signalų nėra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susijusių ginčų nerasta.</w:t>
      </w:r>
    </w:p>
    <w:p>
      <w:pPr>
        <w:spacing w:after="0"/>
        <w:ind w:left="397"/>
      </w:pPr>
      <w:r>
        <w:rPr>
          <w:b/>
          <w:color w:val="333333"/>
          <w:sz w:val="19"/>
        </w:rPr>
        <w:t>Verta žinoti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m. vasarį žuvo rangovo darbuotojas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2025 m. išaugo 54,7 % dėl didesnės dujų generacijos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Sauga valdoma pagal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Dujų pajamų dalis nerasta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Reikalavimai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Atskleistos 1–3 apimties emisijos (4,49 mln. t CO2e 2025 m.) ir SBTi patvirtinti 1,5 °C tikslai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aplinkosaugos vadyba ESO, „Ignitis gamyboje“, „Ignitis“ bei Vilniaus ir Kauno kogeneracinėse jėgainėse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Anglies, durpių ar naftos ir dujų gavybos nėra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Lūkesčiai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saugos vadyba, 2025 m. mirtinų nelaimingų atsitikimų nebuvo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Pasitikėjimo linija anoniminiams pranešimams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politika ir ISO 37001 sertifikatas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Pasaulinis susitarimas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Integruota metinė ataskaita su klimato duomenimis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Biologinės įvairovės stebėsena ir poveikio mažinimo priemonės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Neskelbiamas įvardytas žmogaus teisių patikros procesas ir kiekybiniai biologinės įvairovės tikslai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bendrovė atitinka SEB politikų lūkesčius, raudonų signalų nėra.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Bendros ŠESD emisijos 2025 m. – 4,49 mln. t CO2e (+10,1 %)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intensyvumas (1+2 apimtis) 2026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 ketv. – 214 g CO2e/kWh (−12,8 %)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– 84,7 %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patvirtinti 1,5 °C tikslai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