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43.5%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in the 2026-08 outlook; nothing to compare yet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bribery case from 2015 concerns former executives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in the automatic news scan (Estonian and English media, last 30 days,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Older coverage concerns the former executives'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Climate-neutral operations by 2050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−55% by 2030 versus 2019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Progress: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current yellow flag.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former executives' case is historical (from 2015) and the company is the injured party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Transportation policy does not apply (road, rail and air only)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governance or international-norm breach by the company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by 2050 and a plan to move ferries to alternative fuels or electrification, in line with SEB's decarbonisation-plan expectation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Liquid bulk (oil products) handling is declining, −33.8% in 6M 2026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Public reports do not describe shipping-specific items (ship energy efficiency plans, CII ratings, ship recycling)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or human rights due diligence, whistleblowing and anti-corruption policies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−55% by 2030 and climate neutrality by 2050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Clear climate targets with good progress (−41.8% versus 2019). Shipping-specific disclosures could be more detailed.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