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8"/>
        </w:rPr>
        <w:t>Citadele banka</w:t>
      </w:r>
    </w:p>
    <w:p>
      <w:r>
        <w:rPr>
          <w:color w:val="5F6B7A"/>
          <w:sz w:val="24"/>
        </w:rPr>
        <w:t>Emitento apžvalga · 6M2026</w:t>
      </w:r>
    </w:p>
    <w:p>
      <w:pPr>
        <w:spacing w:after="0"/>
      </w:pPr>
      <w:r>
        <w:rPr>
          <w:b/>
          <w:sz w:val="19"/>
        </w:rPr>
        <w:t xml:space="preserve">Analizės data: </w:t>
      </w:r>
      <w:r>
        <w:rPr>
          <w:b w:val="0"/>
          <w:sz w:val="19"/>
        </w:rPr>
        <w:t>2026-10-22</w:t>
      </w:r>
    </w:p>
    <w:p>
      <w:pPr>
        <w:spacing w:after="0"/>
      </w:pPr>
      <w:r>
        <w:rPr>
          <w:b/>
          <w:sz w:val="19"/>
        </w:rPr>
        <w:t xml:space="preserve">Reitingas: </w:t>
      </w:r>
      <w:r>
        <w:rPr>
          <w:b w:val="0"/>
          <w:sz w:val="19"/>
        </w:rPr>
        <w:t>Moody's (2026-04-21): long-term deposits A3, senior unsecured Baa2, outlook stable; AT1 Ba3</w:t>
      </w:r>
      <w:hyperlink r:id="rId10">
        <w:r>
          <w:rPr>
            <w:color w:val="2A78D6"/>
            <w:vertAlign w:val="superscript"/>
            <w:sz w:val="16"/>
          </w:rPr>
          <w:t xml:space="preserve">1</w:t>
        </w:r>
      </w:hyperlink>
      <w:r>
        <w:rPr>
          <w:color w:val="2A78D6"/>
          <w:vertAlign w:val="superscript"/>
        </w:rPr>
        <w:t>,</w:t>
      </w:r>
      <w:hyperlink r:id="rId11">
        <w:r>
          <w:rPr>
            <w:color w:val="2A78D6"/>
            <w:vertAlign w:val="superscript"/>
            <w:sz w:val="16"/>
          </w:rPr>
          <w:t xml:space="preserve">2</w:t>
        </w:r>
      </w:hyperlink>
    </w:p>
    <w:p>
      <w:pPr>
        <w:spacing w:after="0"/>
      </w:pPr>
      <w:r>
        <w:rPr>
          <w:b/>
          <w:sz w:val="19"/>
        </w:rPr>
        <w:t xml:space="preserve">Kita ataskaita: </w:t>
      </w:r>
      <w:r>
        <w:rPr>
          <w:b w:val="0"/>
          <w:sz w:val="19"/>
        </w:rPr>
        <w:t>Q3 2026 public financial information - 2026-11-04</w:t>
      </w:r>
      <w:hyperlink r:id="rId12">
        <w:r>
          <w:rPr>
            <w:color w:val="2A78D6"/>
            <w:vertAlign w:val="superscript"/>
            <w:sz w:val="16"/>
          </w:rPr>
          <w:t xml:space="preserve">3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3F3E8"/>
          </w:tcPr>
          <w:p>
            <w:pPr>
              <w:spacing w:before="60" w:after="60"/>
            </w:pPr>
            <w:r>
              <w:rPr>
                <w:b/>
                <w:color w:val="1A1A1A"/>
                <w:sz w:val="21"/>
              </w:rPr>
              <w:t>Pozicija tvarkinga.</w:t>
            </w:r>
            <w:r>
              <w:rPr>
                <w:b w:val="0"/>
                <w:color w:val="1A1A1A"/>
                <w:sz w:val="21"/>
              </w:rPr>
              <w:t xml:space="preserve"> I pusm. pelnas 39,8 mln. EUR (−8 %), ROE 13,7 %; CET1 17,8 %, bendras kapitalas 21,6 %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 Dėl geopolitinio neapibrėžtumo bankas išmokėjo tik 31,5 % pelno dividendais, o tai palanku obligacijų turėtojams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nil"/>
          <w:bottom w:val="single" w:sz="4" w:color="FFFFFF"/>
          <w:right w:val="nil"/>
          <w:insideH w:val="single" w:sz="4" w:color="FFFFFF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Grynasis pelnas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39,8 mln. EUR</w:t>
            </w:r>
          </w:p>
          <w:p>
            <w:r>
              <w:rPr>
                <w:color w:val="5F6B7A"/>
                <w:sz w:val="16"/>
              </w:rPr>
              <w:t>▼ 8,1 %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ROE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13,7 %</w:t>
            </w:r>
          </w:p>
          <w:p>
            <w:r>
              <w:rPr>
                <w:color w:val="5F6B7A"/>
                <w:sz w:val="16"/>
              </w:rPr>
              <w:t>▼ 1,7 p. p.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CET1 rodiklis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17,8 %</w:t>
            </w:r>
          </w:p>
          <w:p>
            <w:r>
              <w:rPr>
                <w:color w:val="5F6B7A"/>
                <w:sz w:val="16"/>
              </w:rPr>
              <w:t>▼ 0,4 p. p. vs FY2025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Bendrasis kapitalo rodiklis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21,6 %</w:t>
            </w:r>
          </w:p>
          <w:p>
            <w:r>
              <w:rPr>
                <w:color w:val="5F6B7A"/>
                <w:sz w:val="16"/>
              </w:rPr>
              <w:t>▼ 0,7 p. p. vs FY2025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Trumpa santrauka</w:t>
      </w:r>
    </w:p>
    <w:p>
      <w:pPr>
        <w:pStyle w:val="ListBullet"/>
        <w:spacing w:after="60"/>
      </w:pPr>
      <w:r>
        <w:rPr>
          <w:b/>
        </w:rPr>
        <w:t>Pelnas šiek tiek mažesnis:</w:t>
      </w:r>
      <w:r>
        <w:rPr>
          <w:b w:val="0"/>
        </w:rPr>
        <w:t xml:space="preserve"> I pusm. grynasis pelnas (tęsiama veikla) 39,8 mln. EUR, prieš metus 43,3 mln.; ROE 13,7 % (15,4 %). Palūkanų pajamos stabilios – 89,5 mln. EUR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Kapitalas ir likvidumas – su atsarga:</w:t>
      </w:r>
      <w:r>
        <w:rPr>
          <w:b w:val="0"/>
        </w:rPr>
        <w:t xml:space="preserve"> CET1 17,8 %, bendras kapitalas 21,6 %, LCR 163 %, NSFR 138 %</w:t>
      </w:r>
      <w:hyperlink r:id="rId13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Atsargūs dividendai:</w:t>
      </w:r>
      <w:r>
        <w:rPr>
          <w:b w:val="0"/>
        </w:rPr>
        <w:t xml:space="preserve"> už 2025 m. išmokėta 25,7 mln. EUR (31,5 % pelno, planuota 50 %) dėl geopolitinio neapibrėžtumo; 2026 m. sausį baigtas 50 mln. EUR akcijų supirkimas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Vadovų pokyčiai:</w:t>
      </w:r>
      <w:r>
        <w:rPr>
          <w:b w:val="0"/>
        </w:rPr>
        <w:t xml:space="preserve"> iš valdybos išėjo S. Mizak (2026-03) ir rizikos vadovė J. Lebedinska-Ļitvinova (2026-05); naujuoju rizikos vadovu siūlomas E. Näsäkkälä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Turimos priemonės ir ISIN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ISIN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Priemonė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Kuponas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Išpirkimas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Pastaba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XS3060301168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Citadele 7.125% AT1 perpetual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7,125 %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Additional Tier 1, temporary write-down, perpetual; fixed to first reset 2031-01-09; Moody's Ba3</w:t>
            </w:r>
          </w:p>
        </w:tc>
      </w:tr>
      <w:tr>
        <w:tc>
          <w:tcPr>
            <w:tcW w:type="dxa" w:w="170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XS3148256913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Citadele 3.875% fixed/floating senior preferred 2029</w:t>
            </w:r>
          </w:p>
        </w:tc>
        <w:tc>
          <w:tcPr>
            <w:tcW w:type="dxa" w:w="964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3,875 %</w:t>
            </w:r>
          </w:p>
        </w:tc>
        <w:tc>
          <w:tcPr>
            <w:tcW w:type="dxa" w:w="1304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2029-12-23</w:t>
            </w:r>
          </w:p>
        </w:tc>
        <w:tc>
          <w:tcPr>
            <w:tcW w:type="dxa" w:w="3061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Senior preferred, MREL-eligible; fixed to reset 2028-12-23, then 3M EURIBOR+1.70%; Moody's Baa2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Pagrindiniai rodikliai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Rodiklis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6M2026</w:t>
            </w:r>
          </w:p>
        </w:tc>
        <w:tc>
          <w:tcPr>
            <w:tcW w:type="dxa" w:w="221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Pokytis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Grynasis pelnas,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94,5*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84,7*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43,3*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39,8*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8,1 %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Grynosios palūkanų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192,5*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177,2*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89,2*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89,5*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0,3 %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Visos veiklos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234,8*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221,5*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111,5*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109,4*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1,9 %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Sąnaudų ir pajamų santykis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48,4 %*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49,2 %*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47,1 %*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50,3 %*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3,2 p. p.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ROE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17,5 %*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14,6 %*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15,4 %*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13,7 %*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1,7 p. p.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Rizikos kaina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0,0 %*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0,1 %*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0,3 %*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0,3 %*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• 0 p. p.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Grynoji palūkanų marža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3,8 %*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3,7 %*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0,1 p. p.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Paskolos klientams,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3 275*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3 764*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3 947*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4,9 % vs FY2025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Klientų indėliai,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4 023*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4 304*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4 325*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0,5 % vs FY2025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CET1 rodiklis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19,2 %*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18,2 %*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17,8 %*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0,4 p. p. vs FY2025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Bendrasis kapitalo rodiklis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21,4 %*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22,3 %*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21,6 %*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0,7 p. p. vs FY2025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LCR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181 %*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181 %*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163 %*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18 p. p. vs FY2025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NSFR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143 %*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141 %*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138 %*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3 p. p. vs FY2025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Neveiksnių paskolų dalis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2,3 %*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1,7 %*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2,1 %*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1,9 %*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▼ 0,2 p. p. vs 6M2025</w:t>
            </w:r>
          </w:p>
        </w:tc>
      </w:tr>
    </w:tbl>
    <w:p>
      <w:r>
        <w:rPr>
          <w:i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r>
        <w:rPr>
          <w:i/>
          <w:color w:val="5F6B7A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adele_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Veiklos apžvalga</w:t>
      </w:r>
    </w:p>
    <w:p>
      <w:pPr>
        <w:pStyle w:val="ListBullet"/>
        <w:spacing w:after="60"/>
      </w:pPr>
      <w:r>
        <w:rPr>
          <w:b w:val="0"/>
        </w:rPr>
        <w:t>Paskolos 3 947 mln. EUR (+4,9 % nuo 2025 m. pab.), indėliai 4 325 mln. EUR (apskaičiuota įrankio)</w:t>
      </w:r>
      <w:hyperlink r:id="rId13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Sąnaudų / pajamų santykis 50,3 % (47,1 %), rizikos kaina 0,3 %, trečios stadijos paskolos 1,9 % (2,1 %)</w:t>
      </w:r>
      <w:hyperlink r:id="rId13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Žaliasis finansavimas I pusm. – 56,4 mln. EUR (7,5 % naujų paskolų); 2025 m. – 176,2 mln. EUR</w:t>
      </w:r>
      <w:hyperlink r:id="rId13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Finansai</w:t>
      </w:r>
    </w:p>
    <w:p>
      <w:pPr>
        <w:pStyle w:val="ListBullet"/>
        <w:spacing w:after="60"/>
      </w:pPr>
      <w:r>
        <w:rPr>
          <w:b w:val="0"/>
        </w:rPr>
        <w:t>2025 m. pelnas (tęsiama veikla) 84,7 mln. EUR (2024 m. – 94,5 mln.), ROE 14,6 % (17,5 %); 2025 m. parduotas Šveicarijos Kaleido Privatbank</w:t>
      </w:r>
      <w:hyperlink r:id="rId14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2026-09-28 išleista 50 mln. EUR pirmaeilių obligacijų (5,15 %); dalis lėšų skirta 40 mln. EUR subordinuotoms obligacijoms supirkti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Ankstesni planai ir rezultatai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Planas / tikslas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Rezultatas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Kas pasikeitė ir kodėl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Dividendų politika: 50 % praėjusių metų pelno, jei leidžia vidiniai kapitalo tikslai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Už 2025 m. išmokėta 31,5 %; likusi 15,1 mln. EUR dalis gali būti išmokėta vėliau 2026 m.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Pakeista: valdyba sumažino išmoką dėl geopolitinio neapibrėžtumo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FDF1D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Pakeista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Žaliasis finansavimas: 75 mln. EUR tikslas 2026 m.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 pusm. – 56,4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Vykdoma: per pusmetį pasiekta 75 % metinio tikslo (apskaičiuota įrankio)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Vizija – tapti Baltijos šalių bankininkystės čempionu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Paskolų portfelis auga, ROE 13,7 %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Ilgalaikis tikslas.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Informacija investuotojui ir išvados</w:t>
      </w:r>
    </w:p>
    <w:p>
      <w:pPr>
        <w:pStyle w:val="ListBullet"/>
        <w:spacing w:after="60"/>
      </w:pPr>
      <w:r>
        <w:rPr>
          <w:b/>
        </w:rPr>
        <w:t>Turimos priemonės:</w:t>
      </w:r>
      <w:r>
        <w:rPr>
          <w:b w:val="0"/>
        </w:rPr>
        <w:t xml:space="preserve"> 3,875 % pirmaeilė privilegijuota (MREL) obligacija – 300 mln. EUR, fiksuota iki 2028-12-23, po to 3M EURIBOR + 1,70 %, išpirkimas 2029-12-23, reitingas Baa2; ir AT1 7,125 % neterminuota – 50 mln. EUR, pirmoji perskaičiavimo (pirkimo) data 2031-01-09, reitingas Ba3</w:t>
      </w:r>
      <w:hyperlink r:id="rId12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AT1 turėtojams:</w:t>
      </w:r>
      <w:r>
        <w:rPr>
          <w:b w:val="0"/>
        </w:rPr>
        <w:t xml:space="preserve"> CET1 17,8 % gerokai viršija reikalavimus, o atsargi dividendų politika stiprina kapitalą</w:t>
      </w:r>
      <w:hyperlink r:id="rId13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Savininkai:</w:t>
      </w:r>
      <w:r>
        <w:rPr>
          <w:b w:val="0"/>
        </w:rPr>
        <w:t xml:space="preserve"> Ripplewood konsorciumas 69,8 %, ERPB 27,8 %</w:t>
      </w:r>
      <w:hyperlink r:id="rId13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 2026-10-12 vyko neeilinis akcininkų susirinkimas</w:t>
      </w:r>
      <w:hyperlink r:id="rId12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Išvada:</w:t>
      </w:r>
      <w:r>
        <w:rPr>
          <w:b w:val="0"/>
        </w:rPr>
        <w:t xml:space="preserve"> pelningumas geras, kapitalas stiprus, finansavimas pigus. 9M rezultatai – 2026-11-04.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ESG report</w:t>
      </w:r>
    </w:p>
    <w:p>
      <w:pPr>
        <w:spacing w:before="160"/>
      </w:pPr>
      <w:r>
        <w:rPr>
          <w:b/>
          <w:sz w:val="22"/>
        </w:rPr>
        <w:t>Exclusionary screening (companies)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involved in excluded sectors: controversial and nuclear weapons, tobacco, gambling and restricted sectors in fossil fuel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Bankas nevykdo veiklos išskirtuose sektoriuose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Nustatyti sektoriai, kurių nefinansuoja dėl didelio neigiamo poveikio aplinkai</w:t>
      </w:r>
      <w:hyperlink r:id="rId14">
        <w:r>
          <w:rPr>
            <w:color w:val="2A78D6"/>
            <w:vertAlign w:val="superscript"/>
            <w:sz w:val="16"/>
          </w:rPr>
          <w:t xml:space="preserve">12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red flag/signal related to controversies based on UN Global Compact, OECD Guidelines for Multinational Enterprises or any other relevant principles/standards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Ginčų pagal JT Pasaulinį susitarimą ar EBPO gaires ir priežiūros baudų nerasta (2026-10-22).</w:t>
      </w:r>
    </w:p>
    <w:p>
      <w:pPr>
        <w:spacing w:before="80" w:after="20"/>
      </w:pPr>
      <w:r>
        <w:rPr>
          <w:sz w:val="24"/>
        </w:rPr>
        <w:t xml:space="preserve">☐ </w:t>
      </w:r>
      <w:r>
        <w:t>Yes, the company is not in the list of sanctions (add a screenshot)</w:t>
      </w:r>
    </w:p>
    <w:p>
      <w:pPr>
        <w:spacing w:after="0"/>
        <w:ind w:left="397"/>
      </w:pPr>
      <w:r>
        <w:rPr>
          <w:b/>
          <w:color w:val="B42318"/>
          <w:sz w:val="19"/>
        </w:rPr>
        <w:t>Reikia peržiūrėti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Automatinė patikra ES, JT, JAV OFAC ir JK konsoliduotuose sankcijų sąrašuose.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issues were not identified from adverse media checks (add a screenshot)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Neigiamų naujienų nerasta (2026-10-22).</w:t>
      </w:r>
    </w:p>
    <w:p>
      <w:r>
        <w:rPr>
          <w:i/>
          <w:sz w:val="19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ESG integration and positive screening (positive answers imply higher allocation)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promoting environmental or social characteristics (activities, ESG policy, good ESG rating, etc)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Žaliojo skolinimo sistema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Žaliasis finansavimas 2025 m. – 176,2 mln.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EUR (2024 m. – 102,4 mln.), žalieji indėliai 52 mln.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EUR</w:t>
      </w:r>
      <w:hyperlink r:id="rId14">
        <w:r>
          <w:rPr>
            <w:color w:val="2A78D6"/>
            <w:vertAlign w:val="superscript"/>
            <w:sz w:val="16"/>
          </w:rPr>
          <w:t xml:space="preserve">12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JT Atsakingos bankininkystės principų narys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Turto valdymo įmonė – PRI signatarė</w:t>
      </w:r>
      <w:hyperlink r:id="rId14">
        <w:r>
          <w:rPr>
            <w:color w:val="2A78D6"/>
            <w:vertAlign w:val="superscript"/>
            <w:sz w:val="16"/>
          </w:rPr>
          <w:t xml:space="preserve">18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activities of the company or it’s strategy is aligned with the taxonomy and/or Paris agreement targets (e.g. net zero commitment)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Tikslas – nulinės finansuojamos emisijos iki 2050 m.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(pereinamojo laikotarpio planas v1)</w:t>
      </w:r>
      <w:hyperlink r:id="rId14">
        <w:r>
          <w:rPr>
            <w:color w:val="2A78D6"/>
            <w:vertAlign w:val="superscript"/>
            <w:sz w:val="16"/>
          </w:rPr>
          <w:t xml:space="preserve">15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yellow flag/signal related to controversies based on UN Global Compact or any other relevant principles/standards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Geltonų signalų nerasta.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fulfills the expectations from SEB thematic and sector policies</w:t>
      </w:r>
    </w:p>
    <w:p>
      <w:pPr>
        <w:spacing w:after="0"/>
        <w:ind w:left="397"/>
      </w:pPr>
      <w:r>
        <w:rPr>
          <w:b/>
          <w:color w:val="333333"/>
          <w:sz w:val="19"/>
        </w:rPr>
        <w:t>Taikoma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Investicijų politika bei aplinkosaugos ir socialinė / žmogaus teisių politikos</w:t>
      </w:r>
      <w:hyperlink r:id="rId16">
        <w:r>
          <w:rPr>
            <w:color w:val="2A78D6"/>
            <w:vertAlign w:val="superscript"/>
            <w:sz w:val="16"/>
          </w:rPr>
          <w:t xml:space="preserve">19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Atitinka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Finansavimo išimtys</w:t>
      </w:r>
      <w:hyperlink r:id="rId14">
        <w:r>
          <w:rPr>
            <w:color w:val="2A78D6"/>
            <w:vertAlign w:val="superscript"/>
            <w:sz w:val="16"/>
          </w:rPr>
          <w:t xml:space="preserve">12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Klimato tikslas 2050 m.</w:t>
      </w:r>
      <w:hyperlink r:id="rId14">
        <w:r>
          <w:rPr>
            <w:color w:val="2A78D6"/>
            <w:vertAlign w:val="superscript"/>
            <w:sz w:val="16"/>
          </w:rPr>
          <w:t xml:space="preserve">15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JT PRB narystė</w:t>
      </w:r>
      <w:hyperlink r:id="rId14">
        <w:r>
          <w:rPr>
            <w:color w:val="2A78D6"/>
            <w:vertAlign w:val="superscript"/>
            <w:sz w:val="16"/>
          </w:rPr>
          <w:t xml:space="preserve">18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Pinigų plovimo prevencijos ir sankcijų mokymai beveik 100 % darbuotojų</w:t>
      </w:r>
      <w:hyperlink r:id="rId14">
        <w:r>
          <w:rPr>
            <w:color w:val="2A78D6"/>
            <w:vertAlign w:val="superscript"/>
            <w:sz w:val="16"/>
          </w:rPr>
          <w:t xml:space="preserve">15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Galėtų būti geriau</w:t>
      </w:r>
    </w:p>
    <w:p>
      <w:pPr>
        <w:spacing w:after="12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Finansuojamų emisijų skaičiai ataskaitoje nerasti.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Engagement</w:t>
      </w:r>
    </w:p>
    <w:p>
      <w:pPr>
        <w:spacing w:before="80" w:after="20"/>
      </w:pPr>
      <w:r>
        <w:rPr>
          <w:sz w:val="24"/>
        </w:rPr>
        <w:t xml:space="preserve">☐ </w:t>
      </w:r>
      <w:r>
        <w:t>Is there a need for pro-active engagement with the company?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Nereikia: bankas pelningas, kapitalas stiprus, ESG praktika tvarkinga.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Indicators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indicators of the company support the targets of sustainability and PAI indicators followed by the Fund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Žaliasis finansavimas – 11 % naujų paskolų 2025 m.</w:t>
      </w:r>
      <w:hyperlink r:id="rId14">
        <w:r>
          <w:rPr>
            <w:color w:val="2A78D6"/>
            <w:vertAlign w:val="superscript"/>
            <w:sz w:val="16"/>
          </w:rPr>
          <w:t xml:space="preserve">12</w:t>
        </w:r>
      </w:hyperlink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Moterų dalis valdyboje 43 %, stebėtojų taryboje 25 %</w:t>
      </w:r>
      <w:hyperlink r:id="rId14">
        <w:r>
          <w:rPr>
            <w:color w:val="2A78D6"/>
            <w:vertAlign w:val="superscript"/>
            <w:sz w:val="16"/>
          </w:rPr>
          <w:t xml:space="preserve">20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80"/>
      </w:pPr>
      <w:r>
        <w:rPr>
          <w:b/>
        </w:rPr>
        <w:t xml:space="preserve">Conclusion: </w:t>
      </w:r>
      <w:r>
        <w:rPr>
          <w:b w:val="0"/>
        </w:rPr>
        <w:t>Išimčių ir raudonų signalų nėra. Žaliasis finansavimas auga, yra klimato tikslas ir JT PRB narystė.</w:t>
      </w:r>
    </w:p>
    <w:p>
      <w:r>
        <w:rPr>
          <w:i/>
          <w:color w:val="5F6B7A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Šaltiniai</w:t>
      </w:r>
    </w:p>
    <w:p>
      <w:pPr>
        <w:spacing w:after="20"/>
        <w:ind w:left="340" w:hanging="340"/>
      </w:pPr>
      <w:r>
        <w:rPr>
          <w:sz w:val="17"/>
        </w:rPr>
        <w:t xml:space="preserve">1. </w:t>
      </w:r>
      <w:hyperlink r:id="rId10">
        <w:r>
          <w:rPr>
            <w:color w:val="2A78D6"/>
            <w:sz w:val="17"/>
          </w:rPr>
          <w:t xml:space="preserve">Citadele - Ratings,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2. </w:t>
      </w:r>
      <w:hyperlink r:id="rId11">
        <w:r>
          <w:rPr>
            <w:color w:val="2A78D6"/>
            <w:sz w:val="17"/>
          </w:rPr>
          <w:t xml:space="preserve">Citadele issues EUR 50 million senior unsecured preferred bonds (2026-09-28), 2026-09-28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3. </w:t>
      </w:r>
      <w:hyperlink r:id="rId12">
        <w:r>
          <w:rPr>
            <w:color w:val="2A78D6"/>
            <w:sz w:val="17"/>
          </w:rPr>
          <w:t xml:space="preserve">Citadele - Bonds,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4. </w:t>
      </w:r>
      <w:hyperlink r:id="rId13">
        <w:r>
          <w:rPr>
            <w:color w:val="2A78D6"/>
            <w:sz w:val="17"/>
          </w:rPr>
          <w:t xml:space="preserve">Citadele - Interim report 6M 2026, p. 2,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5. </w:t>
      </w:r>
      <w:hyperlink r:id="rId13">
        <w:r>
          <w:rPr>
            <w:color w:val="2A78D6"/>
            <w:sz w:val="17"/>
          </w:rPr>
          <w:t xml:space="preserve">Citadele - Interim report 6M 2026, p. 5,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6. </w:t>
      </w:r>
      <w:hyperlink r:id="rId13">
        <w:r>
          <w:rPr>
            <w:color w:val="2A78D6"/>
            <w:sz w:val="17"/>
          </w:rPr>
          <w:t xml:space="preserve">Citadele - Interim report 6M 2026, p. 2, 7,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7. </w:t>
      </w:r>
      <w:hyperlink r:id="rId13">
        <w:r>
          <w:rPr>
            <w:color w:val="2A78D6"/>
            <w:sz w:val="17"/>
          </w:rPr>
          <w:t xml:space="preserve">Citadele - Interim report 6M 2026, p. 5, 11,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8. </w:t>
      </w:r>
      <w:hyperlink r:id="rId14">
        <w:r>
          <w:rPr>
            <w:color w:val="2A78D6"/>
            <w:sz w:val="17"/>
          </w:rPr>
          <w:t xml:space="preserve">Citadele - Annual report 2025, p. 2,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9. </w:t>
      </w:r>
      <w:hyperlink r:id="rId13">
        <w:r>
          <w:rPr>
            <w:color w:val="2A78D6"/>
            <w:sz w:val="17"/>
          </w:rPr>
          <w:t xml:space="preserve">Citadele - Interim report 6M 2026, p. 2, 15,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10. </w:t>
      </w:r>
      <w:hyperlink r:id="rId13">
        <w:r>
          <w:rPr>
            <w:color w:val="2A78D6"/>
            <w:sz w:val="17"/>
          </w:rPr>
          <w:t xml:space="preserve">Citadele - Interim report 6M 2026, p. 2, 4,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11. </w:t>
      </w:r>
      <w:hyperlink r:id="rId13">
        <w:r>
          <w:rPr>
            <w:color w:val="2A78D6"/>
            <w:sz w:val="17"/>
          </w:rPr>
          <w:t xml:space="preserve">Citadele - Interim report 6M 2026, p. 7,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12. </w:t>
      </w:r>
      <w:hyperlink r:id="rId14">
        <w:r>
          <w:rPr>
            <w:color w:val="2A78D6"/>
            <w:sz w:val="17"/>
          </w:rPr>
          <w:t xml:space="preserve">Citadele - Annual report 2025, p. 24,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13. </w:t>
      </w:r>
      <w:hyperlink r:id="rId14">
        <w:r>
          <w:rPr>
            <w:color w:val="2A78D6"/>
            <w:sz w:val="17"/>
          </w:rPr>
          <w:t xml:space="preserve">Citadele - Annual report 2025, p. 2, 5-7,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14. </w:t>
      </w:r>
      <w:hyperlink r:id="rId14">
        <w:r>
          <w:rPr>
            <w:color w:val="2A78D6"/>
            <w:sz w:val="17"/>
          </w:rPr>
          <w:t xml:space="preserve">Citadele - Annual report 2025, p. 11,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15. </w:t>
      </w:r>
      <w:hyperlink r:id="rId14">
        <w:r>
          <w:rPr>
            <w:color w:val="2A78D6"/>
            <w:sz w:val="17"/>
          </w:rPr>
          <w:t xml:space="preserve">Citadele - Annual report 2025, p. 22,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16. </w:t>
      </w:r>
      <w:hyperlink r:id="rId13">
        <w:r>
          <w:rPr>
            <w:color w:val="2A78D6"/>
            <w:sz w:val="17"/>
          </w:rPr>
          <w:t xml:space="preserve">Citadele - Interim report 6M 2026, p. 2, 5,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17. </w:t>
      </w:r>
      <w:hyperlink r:id="rId13">
        <w:r>
          <w:rPr>
            <w:color w:val="2A78D6"/>
            <w:sz w:val="17"/>
          </w:rPr>
          <w:t xml:space="preserve">Citadele - Interim report 6M 2026, p. 11, 2026-08-05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18. </w:t>
      </w:r>
      <w:hyperlink r:id="rId14">
        <w:r>
          <w:rPr>
            <w:color w:val="2A78D6"/>
            <w:sz w:val="17"/>
          </w:rPr>
          <w:t xml:space="preserve">Citadele - Annual report 2025, p. 23, 2026-03-19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19. </w:t>
      </w:r>
      <w:hyperlink r:id="rId16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20. </w:t>
      </w:r>
      <w:hyperlink r:id="rId14">
        <w:r>
          <w:rPr>
            <w:color w:val="2A78D6"/>
            <w:sz w:val="17"/>
          </w:rPr>
          <w:t xml:space="preserve">Citadele - Annual report 2025, p. 20, 2026-03-19</w:t>
        </w:r>
      </w:hyperlink>
    </w:p>
    <w:p>
      <w:r>
        <w:rPr>
          <w:i/>
          <w:color w:val="5F6B7A"/>
          <w:sz w:val="16"/>
        </w:rPr>
        <w:t>Ataskaita parengta automatiškai iš viešų šaltinių. Skaičiai pateikiami taip, kaip juos skelbia emitentas; nuorodos [S#] veda į šaltinių sąrašą. Prieš naudojant sprendimui, analitikas turi peržiūrėti pažymėtus punktus.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6"/>
      </w:rPr>
      <w:t xml:space="preserve">Citadele banka · 6M2026 · 2026-10-22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blgroup.com/en/investors/ratings/" TargetMode="External"/><Relationship Id="rId11" Type="http://schemas.openxmlformats.org/officeDocument/2006/relationships/hyperlink" Target="https://www.cblgroup.com/en/investors/announcements/2026/citadele-issues-eur-50-million-senior-unsecured-preferred-bonds/" TargetMode="External"/><Relationship Id="rId12" Type="http://schemas.openxmlformats.org/officeDocument/2006/relationships/hyperlink" Target="https://www.cblgroup.com/en/investors/bonds/" TargetMode="External"/><Relationship Id="rId13" Type="http://schemas.openxmlformats.org/officeDocument/2006/relationships/hyperlink" Target="https://www.cblgroup.com/media/W1siZiIsIjIwMjYvMDgvMDUvNTh4c2I0cDRzM19DaXRhZGVsZV82bTIwMjZfRU4ucGRmIl1d?sha=6f81681556b09959" TargetMode="External"/><Relationship Id="rId14" Type="http://schemas.openxmlformats.org/officeDocument/2006/relationships/hyperlink" Target="https://www.cblgroup.com/media/W1siZiIsIjIwMjYvMDMvMTkvOG9icXc4MzVubV9DaXRhZGVsZV9Bbm51YWxfcmVwb3J0XzIwMjUucGRmIl1d?sha=e68c93f08d3acc0c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