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Verta stebėti.</w:t>
            </w:r>
            <w:r>
              <w:rPr>
                <w:b w:val="0"/>
                <w:color w:val="1A1A1A"/>
                <w:sz w:val="21"/>
              </w:rPr>
              <w:t xml:space="preserve"> Balansas tvirtas (grynoji skola 2,78x EBITDA, nuosavas kapitalas 59,8 % turto)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59,3 mln. EUR</w:t>
            </w:r>
          </w:p>
          <w:p>
            <w:r>
              <w:rPr>
                <w:color w:val="5F6B7A"/>
                <w:sz w:val="16"/>
              </w:rPr>
              <w:t>▲ 2,4 %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25,8 mln. EUR</w:t>
            </w:r>
          </w:p>
          <w:p>
            <w:r>
              <w:rPr>
                <w:color w:val="5F6B7A"/>
                <w:sz w:val="16"/>
              </w:rPr>
              <w:t>▼ 13,4 %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6,0 mln. EUR</w:t>
            </w:r>
          </w:p>
          <w:p>
            <w:r>
              <w:rPr>
                <w:color w:val="5F6B7A"/>
                <w:sz w:val="16"/>
              </w:rPr>
              <w:t>▼ 41,7 %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2,78x</w:t>
            </w:r>
          </w:p>
          <w:p>
            <w:r>
              <w:rPr>
                <w:color w:val="5F6B7A"/>
                <w:sz w:val="16"/>
              </w:rPr>
              <w:t>▲ 0,27x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Koreguotos EBITDA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43,5 %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Veiklos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Krovinių kiekis, mln.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Keleiviai, mln.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Kroviniai 6,48 mln. t (−5,0 %), daugiausia dėl skystų krovinių (−33,8 %); keleiviai 3,59 mln. (−2,0 %); laivų įplaukimai −4,8 %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Kruizų keleiviai +47,8 %, kruizinių laivų įplaukimai +29,3 % (6 mėn.)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Išmokėta 85 % pelno (politika ≥70 %)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– 19 261 t CO2e (−41,8 % nuo 2019 m.; 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– vertinti kitoje apžvalgoje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2026-08 perspektyvoje; dar nėra su kuo lyginti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Uosto operatorius, keltų paslaugos, ledlaužis, nekilnojamasis turtas – ginklų, tabako, lošimų, anglies ar naftos žvalgybos veiklos nėra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Krauna skystus krovinius (naftos produktus), jų kiekis mažėja (−33,8 % per 6 mėn.)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2015 m. kyšininkavimo byla susijusi su buvusiais vadovais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joje – nukentėjusioji, ne kaltinamoji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(estų ir anglų žiniasklaida, paskutinės 30 d., 2026-10-22) naujų neigiamų naujienų nerado.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Senesnės publikacijos – apie buvusių vadovų bylą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Savanoriška 2025 m. tvarumo ataskaita pagal CSRD/ESRS principus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90 % atsinaujinančios energijos savo reikmėms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Klimatui neutrali veikla iki 2050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−55 % iki 2030 m., palyginti su 2019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Pažanga: 2025 m. – 19 261 t CO2e, −41,8 % nuo 2019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Dabartinių geltonų signalų nėra.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Buvusių vadovų byla – istorinė (nuo 2015 m.), bendrovė joje nukentėjusioji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ir laivybos politika, nes keltų segmentas sudaro 31,4 %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pajamų, daugiau nei 15 % riba (apskaičiuota įrankio)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Transporto politika netaikoma (tik kelių, geležinkelių ir oro transportas)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Bendrovės valdymo ar tarptautinių normų pažeidimų nėra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Kasmetinė tvarumo ataskaita su klimato duomenimis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neutralumas iki 2050 m. ir planas keltus perkelti prie alternatyvių kuro rūšių ar elektros – atitinka SEB dekarbonizacijos plano lūkestį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Skystų krovinių (naftos produktų) mažėja, 2026 m.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 mėn. −33,8 %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Viešose ataskaitose neaprašyti laivybos dalykai (laivų energijos efektyvumo planai, CII reitingai, laivų perdirbimas)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ir žmogaus teisių patikra, pranešėjų kanalas, antikorupcijos politika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1+2 apimties emisijos 2025 m. – 19 261 t CO2e, −41,8 % nuo 2019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(apskaičiuota įrankio)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−55 % iki 2030 m. ir klimato neutralumas iki 2050 m.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Aiškūs klimato tikslai ir gera pažanga (−41,8 % nuo 2019 m.). Laivybos atskleidimas galėtų būti išsamesnis.</w:t>
      </w:r>
    </w:p>
    <w:p>
      <w:r>
        <w:rPr>
          <w:i/>
          <w:color w:val="5F6B7A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