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own calculation), leverage ≤75%, minimum liquidity EUR 1.5m; met at 2026-06-30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2026-08-01 – 2026-10-30: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