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24" w:color="12355B" w:space="0"/>
        </w:pBdr>
        <w:spacing w:before="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030"/>
        <w:gridCol w:w="2608"/>
      </w:tblGrid>
      <w:tr>
        <w:tc>
          <w:tcPr>
            <w:tcW w:type="dxa" w:w="7030"/>
          </w:tcPr>
          <w:p>
            <w:pPr>
              <w:spacing w:before="0" w:after="0"/>
            </w:pPr>
            <w:r>
              <w:rPr>
                <w:b/>
                <w:caps/>
                <w:color w:val="2A78D6"/>
                <w:sz w:val="16"/>
              </w:rPr>
              <w:t>Emitento apžvalga · 9M2026</w:t>
            </w:r>
          </w:p>
          <w:p>
            <w:pPr>
              <w:spacing w:before="40" w:after="0"/>
            </w:pPr>
            <w:r>
              <w:rPr>
                <w:b/>
                <w:color w:val="12355B"/>
                <w:sz w:val="52"/>
              </w:rPr>
              <w:t>Bigbank</w:t>
            </w:r>
          </w:p>
          <w:p>
            <w:pPr>
              <w:spacing w:before="40" w:after="0"/>
            </w:pPr>
            <w:r>
              <w:rPr>
                <w:b w:val="0"/>
                <w:color w:val="667085"/>
                <w:sz w:val="18"/>
              </w:rPr>
              <w:t>Estija</w:t>
            </w:r>
          </w:p>
        </w:tc>
        <w:tc>
          <w:tcPr>
            <w:tcW w:type="dxa" w:w="2608"/>
          </w:tcPr>
          <w:p>
            <w:pPr>
              <w:spacing w:before="440" w:after="0"/>
              <w:jc w:val="right"/>
            </w:pPr>
            <w:r>
              <w:rPr>
                <w:b/>
                <w:color w:val="1B7F3B"/>
                <w:sz w:val="18"/>
                <w:shd w:val="clear" w:color="auto" w:fill="E3F3E8"/>
              </w:rPr>
              <w:t xml:space="preserve">  ●  TVARKINGA  </w:t>
            </w:r>
          </w:p>
        </w:tc>
      </w:tr>
    </w:tbl>
    <w:p>
      <w:pPr>
        <w:pBdr>
          <w:top w:val="single" w:sz="4" w:color="D5DCE4" w:space="0"/>
        </w:pBdr>
        <w:spacing w:before="12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Pagrindinė informacija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Emitento reitingas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Moody's Ba1 long-term deposit rating, outlook negative; BCA ba2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Analizės data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2026-10-22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Kita ataskaita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Q4 2026 and annual results - expected February 2027 (monthly results 2026-11-12)</w:t>
            </w:r>
            <w:hyperlink r:id="rId13">
              <w:r>
                <w:rPr>
                  <w:color w:val="2A78D6"/>
                  <w:vertAlign w:val="superscript"/>
                  <w:sz w:val="15"/>
                </w:rPr>
                <w:t xml:space="preserve">2</w:t>
              </w:r>
            </w:hyperlink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Šalis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Estija</w:t>
            </w:r>
          </w:p>
        </w:tc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Turimi vertybiniai popieriai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Bigbank 12% AT1 temporary write-down notes (August 2023)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EE3300003581  ·  12 % · neterminuota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atskiro nerasta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80" w:type="dxa"/>
          <w:left w:w="260" w:type="dxa"/>
          <w:bottom w:w="200" w:type="dxa"/>
          <w:right w:w="26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single" w:sz="24" w:color="1B7F3B" w:space="0"/>
              <w:bottom w:val="nil"/>
              <w:right w:val="nil"/>
            </w:tcBorders>
            <w:shd w:val="clear" w:color="auto" w:fill="E3F3E8"/>
          </w:tcPr>
          <w:p>
            <w:pPr>
              <w:spacing w:before="0" w:after="0" w:line="276" w:lineRule="auto"/>
            </w:pPr>
            <w:r>
              <w:rPr>
                <w:b/>
                <w:color w:val="1B2430"/>
                <w:sz w:val="21"/>
              </w:rPr>
              <w:t>Pozicija tvarkinga.</w:t>
            </w:r>
            <w:r>
              <w:rPr>
                <w:b w:val="0"/>
                <w:color w:val="1B2430"/>
                <w:sz w:val="21"/>
              </w:rPr>
              <w:t xml:space="preserve"> 9 mėn. pelnas 30,1 mln. EUR (30,2 mln.), paskolos per metus +27 %</w:t>
            </w:r>
            <w:hyperlink r:id="rId14">
              <w:r>
                <w:rPr>
                  <w:color w:val="2A78D6"/>
                  <w:vertAlign w:val="superscript"/>
                  <w:sz w:val="17"/>
                </w:rPr>
                <w:t xml:space="preserve">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7"/>
                </w:rPr>
                <w:t xml:space="preserve">4</w:t>
              </w:r>
            </w:hyperlink>
            <w:r>
              <w:rPr>
                <w:b w:val="0"/>
                <w:color w:val="1B2430"/>
                <w:sz w:val="21"/>
              </w:rPr>
              <w:t>. CET1 13,2 % – gerokai virš turimos AT1 obligacijos nurašymo ribos (7 %)</w:t>
            </w:r>
            <w:hyperlink r:id="rId16">
              <w:r>
                <w:rPr>
                  <w:color w:val="2A78D6"/>
                  <w:vertAlign w:val="superscript"/>
                  <w:sz w:val="17"/>
                </w:rPr>
                <w:t xml:space="preserve">5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7"/>
                </w:rPr>
                <w:t xml:space="preserve">6</w:t>
              </w:r>
            </w:hyperlink>
            <w:r>
              <w:rPr>
                <w:b w:val="0"/>
                <w:color w:val="1B2430"/>
                <w:sz w:val="21"/>
              </w:rPr>
              <w:t>. Stebėtina: Moody's perspektyva neigiama</w:t>
            </w:r>
            <w:hyperlink r:id="rId12">
              <w:r>
                <w:rPr>
                  <w:color w:val="2A78D6"/>
                  <w:vertAlign w:val="superscript"/>
                  <w:sz w:val="17"/>
                </w:rPr>
                <w:t xml:space="preserve">1</w:t>
              </w:r>
            </w:hyperlink>
            <w:r>
              <w:rPr>
                <w:b w:val="0"/>
                <w:color w:val="1B2430"/>
                <w:sz w:val="21"/>
              </w:rPr>
              <w:t>.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50" w:type="dxa"/>
          <w:left w:w="170" w:type="dxa"/>
          <w:bottom w:w="150" w:type="dxa"/>
          <w:right w:w="100" w:type="dxa"/>
        </w:tblCellMar>
        <w:tblLook w:firstColumn="1" w:firstRow="1" w:lastColumn="0" w:lastRow="0" w:noHBand="0" w:noVBand="1" w:val="04A0"/>
      </w:tblPr>
      <w:tblGrid>
        <w:gridCol w:w="2260"/>
        <w:gridCol w:w="198"/>
        <w:gridCol w:w="2260"/>
        <w:gridCol w:w="198"/>
        <w:gridCol w:w="2260"/>
        <w:gridCol w:w="198"/>
        <w:gridCol w:w="2260"/>
      </w:tblGrid>
      <w:tr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Grynasis pelnas</w:t>
            </w:r>
            <w:r>
              <w:rPr>
                <w:b w:val="0"/>
                <w:color w:val="667085"/>
                <w:sz w:val="14"/>
              </w:rPr>
              <w:t xml:space="preserve">  ·  9M2026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30,1</w:t>
            </w:r>
            <w:r>
              <w:rPr>
                <w:b w:val="0"/>
                <w:color w:val="667085"/>
                <w:sz w:val="18"/>
              </w:rPr>
              <w:t xml:space="preserve"> mln. EUR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0,3 % vs 9M2025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ROE</w:t>
            </w:r>
            <w:r>
              <w:rPr>
                <w:b w:val="0"/>
                <w:color w:val="667085"/>
                <w:sz w:val="14"/>
              </w:rPr>
              <w:t xml:space="preserve">  ·  9M2026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12,9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1,4 p. p. vs 9M2025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CET1 rodiklis</w:t>
            </w:r>
            <w:r>
              <w:rPr>
                <w:b w:val="0"/>
                <w:color w:val="667085"/>
                <w:sz w:val="14"/>
              </w:rPr>
              <w:t xml:space="preserve">  ·  9M2026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13,2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0,2 p. p. vs FY2025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Bendrasis kapitalo rodiklis</w:t>
            </w:r>
            <w:r>
              <w:rPr>
                <w:b w:val="0"/>
                <w:color w:val="667085"/>
                <w:sz w:val="14"/>
              </w:rPr>
              <w:t xml:space="preserve">  ·  9M2026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19,2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0,5 p. p. vs FY2025</w:t>
            </w:r>
          </w:p>
        </w:tc>
      </w:tr>
    </w:tbl>
    <w:p>
      <w:pPr>
        <w:spacing w:before="0" w:after="40"/>
      </w:pPr>
    </w:p>
    <w:p>
      <w:pPr>
        <w:keepNext/>
        <w:spacing w:before="200" w:after="100"/>
      </w:pPr>
      <w:r>
        <w:rPr>
          <w:b/>
          <w:color w:val="12355B"/>
          <w:sz w:val="26"/>
        </w:rPr>
        <w:t>Trumpa santrauka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Pelnas stabilus, sąnaudos auga:</w:t>
      </w:r>
      <w:r>
        <w:rPr>
          <w:b w:val="0"/>
        </w:rPr>
        <w:t xml:space="preserve"> 9 mėn. grynosios palūkanų pajamos 94,0 mln. EUR (78,7 mln.), pelnas 30,1 mln. EUR (30,2 mln.); sąnaudų ir pajamų santykis 51,2 % (46,7 %), ROE 12,9 % (14,3 %)</w:t>
      </w:r>
      <w:hyperlink r:id="rId14">
        <w:r>
          <w:rPr>
            <w:color w:val="2A78D6"/>
            <w:vertAlign w:val="superscript"/>
            <w:sz w:val="17"/>
          </w:rPr>
          <w:t xml:space="preserve">3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Spartus augimas:</w:t>
      </w:r>
      <w:r>
        <w:rPr>
          <w:b w:val="0"/>
        </w:rPr>
        <w:t xml:space="preserve"> paskolos 3,27 mlrd. EUR (+688 mln. EUR per metus), indėliai 3,52 mlrd. EUR; turtas viršijo 4 mlrd. EUR</w:t>
      </w:r>
      <w:hyperlink r:id="rId14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color w:val="2A78D6"/>
          <w:vertAlign w:val="superscript"/>
        </w:rPr>
        <w:t>,</w:t>
      </w:r>
      <w:hyperlink r:id="rId15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Kapitalas:</w:t>
      </w:r>
      <w:r>
        <w:rPr>
          <w:b w:val="0"/>
        </w:rPr>
        <w:t xml:space="preserve"> CET1 13,2 %, bendras kapitalas 19,2 %, sverto rodiklis 8,5 %; LCR 225,8 %</w:t>
      </w:r>
      <w:hyperlink r:id="rId14">
        <w:r>
          <w:rPr>
            <w:color w:val="2A78D6"/>
            <w:vertAlign w:val="superscript"/>
            <w:sz w:val="17"/>
          </w:rPr>
          <w:t xml:space="preserve">8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Kokybė gerėja:</w:t>
      </w:r>
      <w:r>
        <w:rPr>
          <w:b w:val="0"/>
        </w:rPr>
        <w:t xml:space="preserve"> 3 etapo paskolos 100 mln. EUR – 3,0 % (2025 m. pab. 4,3 %)</w:t>
      </w:r>
      <w:hyperlink r:id="rId18">
        <w:r>
          <w:rPr>
            <w:color w:val="2A78D6"/>
            <w:vertAlign w:val="superscript"/>
            <w:sz w:val="17"/>
          </w:rPr>
          <w:t xml:space="preserve">9</w:t>
        </w:r>
      </w:hyperlink>
      <w:r>
        <w:rPr>
          <w:color w:val="2A78D6"/>
          <w:vertAlign w:val="superscript"/>
        </w:rPr>
        <w:t>,</w:t>
      </w:r>
      <w:hyperlink r:id="rId19">
        <w:r>
          <w:rPr>
            <w:color w:val="2A78D6"/>
            <w:vertAlign w:val="superscript"/>
            <w:sz w:val="17"/>
          </w:rPr>
          <w:t xml:space="preserve">10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01</w:t>
        <w:tab/>
      </w:r>
      <w:r>
        <w:rPr>
          <w:b/>
          <w:color w:val="12355B"/>
          <w:sz w:val="28"/>
        </w:rPr>
        <w:t>Turimos priemonės ir ISIN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1457"/>
        <w:gridCol w:w="2241"/>
        <w:gridCol w:w="1064"/>
        <w:gridCol w:w="1120"/>
        <w:gridCol w:w="1569"/>
        <w:gridCol w:w="2185"/>
      </w:tblGrid>
      <w:tr>
        <w:tc>
          <w:tcPr>
            <w:tcW w:type="dxa" w:w="14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ISIN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Priemonė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Kuponas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Išpirkimas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Emisijos reitingas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Pastaba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EE3300003581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Bigbank 12% AT1 temporary write-down notes (August 2023)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12 %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neterminuota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atskiro nerasta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Perpetual AT1; call possible from 5 years after issue (first interest date 2028-09-15, tool-derived); trigger CET1 7%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02</w:t>
        <w:tab/>
      </w:r>
      <w:r>
        <w:rPr>
          <w:b/>
          <w:color w:val="12355B"/>
          <w:sz w:val="28"/>
        </w:rPr>
        <w:t>Pagrindiniai rodikliai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864"/>
        <w:gridCol w:w="1156"/>
        <w:gridCol w:w="1156"/>
        <w:gridCol w:w="1156"/>
        <w:gridCol w:w="1156"/>
        <w:gridCol w:w="2148"/>
      </w:tblGrid>
      <w:tr>
        <w:tc>
          <w:tcPr>
            <w:tcW w:type="dxa" w:w="286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Rodiklis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FY2024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FY2025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9M2025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9M2026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Pokytis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Grynosios palūkanų pajamos, mln. EUR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102,4*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106,2*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78,7*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94,0*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19,4 % vs 9M2025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Visos veiklos pajamos, mln. EUR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112,7*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114,5*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85,5*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97,5*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14,0 % vs 9M2025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Grynasis pelnas, mln. EUR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32,3*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37,9*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30,2*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30,1*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0,3 % vs 9M2025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Sąnaudų ir pajamų santykis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42,3 %*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48,6 %*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46,7 %*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F1D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51,2 %*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▲ 4,5 p. p. vs 9M2025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ROE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12,5 %*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13,3 %*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14,3 %*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12,9 %*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1,4 p. p. vs 9M2025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Paskolos klientams, mln. EUR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2 196,5*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2 707,5*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3 268,4*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20,7 %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Klientų indėliai, mln. EUR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2 393,3*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2 879,6*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3 523,4*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22,4 %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Turtas, mln. EUR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3">
              <w:r>
                <w:rPr>
                  <w:color w:val="2A78D6"/>
                  <w:vertAlign w:val="superscript"/>
                  <w:sz w:val="14"/>
                </w:rPr>
                <w:t xml:space="preserve">14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2 778,4*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3 316,7*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3 152,0*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4 003,6*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▲ 27,0 % vs 9M2025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Nuosavas kapitalas, mln. EUR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4">
              <w:r>
                <w:rPr>
                  <w:color w:val="2A78D6"/>
                  <w:vertAlign w:val="superscript"/>
                  <w:sz w:val="14"/>
                </w:rPr>
                <w:t xml:space="preserve">15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269,8*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299,5*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292,4*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321,4*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9,9 % vs 9M2025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CET1 rodiklis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13,1 %*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13,4 %*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F1D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13,2 %*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0,2 p. p.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Bendrasis kapitalo rodiklis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18,2 %*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18,7 %*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19,2 %*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0,5 p. p.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Sverto rodiklis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9,5 %*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9,0 %*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8,5 %*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0,5 p. p.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LCR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195,0 %*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201,6 %*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225,8 %*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24,2 p. p. vs 9M2025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Neveiksnių paskolų dalis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4,3 %*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F1D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3,0 %*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▼ 1,3 p. p. vs FY2025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Spalvos: žalias pokytis – rodiklis gerėja, raudonas – blogėja. Paskutinio laikotarpio langelio fonas: žalias – geras lygis, geltonas – vidutinis, raudonas – silpnas (vidiniai orientyrai, config/metric_rules.yaml).</w:t>
      </w:r>
    </w:p>
    <w:p>
      <w:pPr>
        <w:spacing w:before="40" w:after="60"/>
      </w:pPr>
      <w:r>
        <w:rPr>
          <w:b w:val="0"/>
          <w:color w:val="667085"/>
          <w:sz w:val="16"/>
        </w:rPr>
        <w:t>* – paimta iš ataskaitos santraukos;  ᶜ – mūsų skaičiavimas. Mažas numeris prie teksto – nuoroda į šaltinį (paspaudus atsidaro dokumentas reikiamame puslapyje).</w:t>
      </w:r>
    </w:p>
    <w:p>
      <w:r>
        <w:drawing>
          <wp:inline xmlns:a="http://schemas.openxmlformats.org/drawingml/2006/main" xmlns:pic="http://schemas.openxmlformats.org/drawingml/2006/picture">
            <wp:extent cx="6120000" cy="2231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gbank_l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31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03</w:t>
        <w:tab/>
      </w:r>
      <w:r>
        <w:rPr>
          <w:b/>
          <w:color w:val="12355B"/>
          <w:sz w:val="28"/>
        </w:rPr>
        <w:t>Veiklos apžvalga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Estijos kapitalo bankas, veikiantis 9 šalyse; daugiau nei 222 000 aktyvių klientų; tikslas – tapti pagrindiniu banku Baltijos šalyse</w:t>
      </w:r>
      <w:hyperlink r:id="rId15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2026 m.:</w:t>
      </w:r>
      <w:r>
        <w:rPr>
          <w:b w:val="0"/>
        </w:rPr>
        <w:t xml:space="preserve"> Apple Pay, Google Pay, einamoji sąskaita su 2 % palūkanomis; III ketv. išleista 17,23 mln. EUR naujų AT1 obligacijų</w:t>
      </w:r>
      <w:hyperlink r:id="rId15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04</w:t>
        <w:tab/>
      </w:r>
      <w:r>
        <w:rPr>
          <w:b/>
          <w:color w:val="12355B"/>
          <w:sz w:val="28"/>
        </w:rPr>
        <w:t>Finansai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2025 m. pelnas 37,9 mln. EUR (32,3 mln.), ROE 13,3 % (12,5 %), CET1 13,4 % (13,1 %), bendras kapitalas 18,7 % (18,2 %)</w:t>
      </w:r>
      <w:hyperlink r:id="rId20">
        <w:r>
          <w:rPr>
            <w:color w:val="2A78D6"/>
            <w:vertAlign w:val="superscript"/>
            <w:sz w:val="17"/>
          </w:rPr>
          <w:t xml:space="preserve">16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Dividendų politika:</w:t>
      </w:r>
      <w:r>
        <w:rPr>
          <w:b w:val="0"/>
        </w:rPr>
        <w:t xml:space="preserve"> iki 25 % audituoto pelno, bet ne daugiau 8 mln. EUR per metus; 2026 m. išmokėta 8,0 mln. EUR</w:t>
      </w:r>
      <w:hyperlink r:id="rId26">
        <w:r>
          <w:rPr>
            <w:color w:val="2A78D6"/>
            <w:vertAlign w:val="superscript"/>
            <w:sz w:val="17"/>
          </w:rPr>
          <w:t xml:space="preserve">17</w:t>
        </w:r>
      </w:hyperlink>
      <w:r>
        <w:rPr>
          <w:color w:val="2A78D6"/>
          <w:vertAlign w:val="superscript"/>
        </w:rPr>
        <w:t>,</w:t>
      </w:r>
      <w:hyperlink r:id="rId27">
        <w:r>
          <w:rPr>
            <w:color w:val="2A78D6"/>
            <w:vertAlign w:val="superscript"/>
            <w:sz w:val="17"/>
          </w:rPr>
          <w:t xml:space="preserve">18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05</w:t>
        <w:tab/>
      </w:r>
      <w:r>
        <w:rPr>
          <w:b/>
          <w:color w:val="12355B"/>
          <w:sz w:val="28"/>
        </w:rPr>
        <w:t>Ankstesni planai ir rezultatai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577"/>
        <w:gridCol w:w="2577"/>
        <w:gridCol w:w="3138"/>
        <w:gridCol w:w="1344"/>
      </w:tblGrid>
      <w:tr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Planas / tikslas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Rezultatas</w:t>
            </w:r>
          </w:p>
        </w:tc>
        <w:tc>
          <w:tcPr>
            <w:tcW w:type="dxa" w:w="313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Kas pasikeitė ir kodėl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Būsena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Strategija 2022–2026: ROE 20 %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9M 2026 ROE 12,9 %</w:t>
            </w:r>
            <w:hyperlink r:id="rId26">
              <w:r>
                <w:rPr>
                  <w:color w:val="2A78D6"/>
                  <w:vertAlign w:val="superscript"/>
                  <w:sz w:val="14"/>
                </w:rPr>
                <w:t xml:space="preserve">17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Paskutiniais strategijos metais ROE gerokai žemiau tikslo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E7E5"/>
          </w:tcPr>
          <w:p>
            <w:pPr>
              <w:spacing w:before="0" w:after="0"/>
            </w:pPr>
            <w:r>
              <w:rPr>
                <w:b/>
                <w:sz w:val="17"/>
              </w:rPr>
              <w:t>Neįvykdyta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Dividendai – 25 % pelno, ne daugiau 8 mln. EUR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2026 m. išmokėta 8,0 mln. EUR</w:t>
            </w:r>
            <w:hyperlink r:id="rId26">
              <w:r>
                <w:rPr>
                  <w:color w:val="2A78D6"/>
                  <w:vertAlign w:val="superscript"/>
                  <w:sz w:val="14"/>
                </w:rPr>
                <w:t xml:space="preserve">17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7">
              <w:r>
                <w:rPr>
                  <w:color w:val="2A78D6"/>
                  <w:vertAlign w:val="superscript"/>
                  <w:sz w:val="14"/>
                </w:rPr>
                <w:t xml:space="preserve">18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Pagal politiką</w:t>
            </w:r>
            <w:hyperlink r:id="rId27">
              <w:r>
                <w:rPr>
                  <w:color w:val="2A78D6"/>
                  <w:vertAlign w:val="superscript"/>
                  <w:sz w:val="14"/>
                </w:rPr>
                <w:t xml:space="preserve">18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</w:pPr>
            <w:r>
              <w:rPr>
                <w:b/>
                <w:sz w:val="17"/>
              </w:rPr>
              <w:t>Įvykdyta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06</w:t>
        <w:tab/>
      </w:r>
      <w:r>
        <w:rPr>
          <w:b/>
          <w:color w:val="12355B"/>
          <w:sz w:val="28"/>
        </w:rPr>
        <w:t>Informacija investuotojui ir išvados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Turima priemonė:</w:t>
      </w:r>
      <w:r>
        <w:rPr>
          <w:b w:val="0"/>
        </w:rPr>
        <w:t xml:space="preserve"> 12 % neterminuota AT1 obligacija EE3300003581 (2023 m. rugpjūčio serija), išleista 2023-08-31, 5,08 mln. EUR, kuponas kas ketvirtį; nekotiruojama (privatus platinimas)</w:t>
      </w:r>
      <w:hyperlink r:id="rId17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Sąlygos:</w:t>
      </w:r>
      <w:r>
        <w:rPr>
          <w:b w:val="0"/>
        </w:rPr>
        <w:t xml:space="preserve"> išpirkti galima ne anksčiau kaip po 5 metų (pirmoji palūkanų data po to – 2028-09-15, mūsų skaičiavimas), su priežiūros institucijos leidimu</w:t>
      </w:r>
      <w:hyperlink r:id="rId28">
        <w:r>
          <w:rPr>
            <w:color w:val="2A78D6"/>
            <w:vertAlign w:val="superscript"/>
            <w:sz w:val="17"/>
          </w:rPr>
          <w:t xml:space="preserve">19</w:t>
        </w:r>
      </w:hyperlink>
      <w:r>
        <w:rPr>
          <w:b w:val="0"/>
        </w:rPr>
        <w:t>. Jei grupės ar banko CET1 nukristų žemiau 7 %, nominali vertė laikinai nurašoma; kuponą bankas gali atšaukti savo nuožiūra, atšaukti kuponai nekaupiami</w:t>
      </w:r>
      <w:hyperlink r:id="rId17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color w:val="2A78D6"/>
          <w:vertAlign w:val="superscript"/>
        </w:rPr>
        <w:t>,</w:t>
      </w:r>
      <w:hyperlink r:id="rId28">
        <w:r>
          <w:rPr>
            <w:color w:val="2A78D6"/>
            <w:vertAlign w:val="superscript"/>
            <w:sz w:val="17"/>
          </w:rPr>
          <w:t xml:space="preserve">20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Atsarga:</w:t>
      </w:r>
      <w:r>
        <w:rPr>
          <w:b w:val="0"/>
        </w:rPr>
        <w:t xml:space="preserve"> CET1 13,2 % – apie 6 p. p. virš nurašymo ribos</w:t>
      </w:r>
      <w:hyperlink r:id="rId16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 AT1 yra žemiausio rango skola (žemiau indėlių ir Tier 2)</w:t>
      </w:r>
      <w:hyperlink r:id="rId28">
        <w:r>
          <w:rPr>
            <w:color w:val="2A78D6"/>
            <w:vertAlign w:val="superscript"/>
            <w:sz w:val="17"/>
          </w:rPr>
          <w:t xml:space="preserve">21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Išvada:</w:t>
      </w:r>
      <w:r>
        <w:rPr>
          <w:b w:val="0"/>
        </w:rPr>
        <w:t xml:space="preserve"> vidutinė rizika – pelningas ir augantis bankas su pakankamu kapitalu, bet AT1 ir neigiama Moody's perspektyva.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07</w:t>
        <w:tab/>
      </w:r>
      <w:r>
        <w:rPr>
          <w:b/>
          <w:color w:val="12355B"/>
          <w:sz w:val="28"/>
        </w:rPr>
        <w:t>Rinka ir aplinka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Euribor kilo:</w:t>
      </w:r>
      <w:r>
        <w:rPr>
          <w:b w:val="0"/>
        </w:rPr>
        <w:t xml:space="preserve"> 6 mėn. Euribor per III ketv. pakilo nuo maždaug 2,6 % iki 3,1 %; bankas tai sieja su Artimųjų Rytų konfliktais, kurie kėlė energijos kainas ir infliaciją, ECB vėl didino palūkanas, o rinka tikisi, kad jos ilgiau išliks aukštos</w:t>
      </w:r>
      <w:hyperlink r:id="rId18">
        <w:r>
          <w:rPr>
            <w:color w:val="2A78D6"/>
            <w:vertAlign w:val="superscript"/>
            <w:sz w:val="17"/>
          </w:rPr>
          <w:t xml:space="preserve">9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Pajamos ir kokybė:</w:t>
      </w:r>
      <w:r>
        <w:rPr>
          <w:b w:val="0"/>
        </w:rPr>
        <w:t xml:space="preserve"> III ketv. grynosios palūkanų pajamos 33,8 mln. EUR (+23,7 %); kredito nuostolių sąnaudos 2,2 mln. EUR (–9,7 %), 3 etapo paskolos sumažėjo iki 3,0 % portfelio</w:t>
      </w:r>
      <w:hyperlink r:id="rId18">
        <w:r>
          <w:rPr>
            <w:color w:val="2A78D6"/>
            <w:vertAlign w:val="superscript"/>
            <w:sz w:val="17"/>
          </w:rPr>
          <w:t xml:space="preserve">22</w:t>
        </w:r>
      </w:hyperlink>
      <w:r>
        <w:rPr>
          <w:b w:val="0"/>
        </w:rPr>
        <w:t>. Paskolų paklausa stabili, Baltijos perspektyva – vidutiniškai teigiama</w:t>
      </w:r>
      <w:hyperlink r:id="rId18">
        <w:r>
          <w:rPr>
            <w:color w:val="2A78D6"/>
            <w:vertAlign w:val="superscript"/>
            <w:sz w:val="17"/>
          </w:rPr>
          <w:t xml:space="preserve">9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Sąnaudos:</w:t>
      </w:r>
      <w:r>
        <w:rPr>
          <w:b w:val="0"/>
        </w:rPr>
        <w:t xml:space="preserve"> darbo užmokesčio išlaidos +24 %, darbuotojų +20 % (741) – plečiamos kasdienės bankininkystės paslaugos</w:t>
      </w:r>
      <w:hyperlink r:id="rId29">
        <w:r>
          <w:rPr>
            <w:color w:val="2A78D6"/>
            <w:vertAlign w:val="superscript"/>
            <w:sz w:val="17"/>
          </w:rPr>
          <w:t xml:space="preserve">23</w:t>
        </w:r>
      </w:hyperlink>
      <w:r>
        <w:rPr>
          <w:b w:val="0"/>
        </w:rPr>
        <w:t>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515"/>
        <w:gridCol w:w="1814"/>
        <w:gridCol w:w="1360"/>
        <w:gridCol w:w="1360"/>
        <w:gridCol w:w="1587"/>
      </w:tblGrid>
      <w:tr>
        <w:tc>
          <w:tcPr>
            <w:tcW w:type="dxa" w:w="351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</w:r>
          </w:p>
        </w:tc>
        <w:tc>
          <w:tcPr>
            <w:tcW w:type="dxa" w:w="18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Dabar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Prieš 3 mėn.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Prieš 12 mėn.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Pokytis per 12 mėn.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ECB indėlių palūkanų norma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2,50 %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2,25 %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3 mėn.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2,64 %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2,34 %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2,03 %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0,61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6 mėn.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2,92 %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2,60 %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2,10 %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0,82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12 mėn.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3,25 %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2,80 %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2,17 %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1,08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zonos AAA vyriausybių 10 m. pajamingumas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3,37 % (2026-10)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3,23 %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2,72 %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0,65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zonos infliacija (SVKI, metinė)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1,90 % (2025-12)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2,20 %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2,40 %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▼ 0,50 p. p.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Euro zonos palūkanos ir infliacija (ECB duomenys, mėnesio pabaigos reikšmė; Euribor ir infliacija – mėnesio vidurkis). Svarbu kintamų palūkanų ir perkainojamoms (reset) obligacijoms bei refinansavimo kaštams.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08</w:t>
        <w:tab/>
      </w:r>
      <w:r>
        <w:rPr>
          <w:b/>
          <w:color w:val="12355B"/>
          <w:sz w:val="28"/>
        </w:rPr>
        <w:t>Ką rašo spauda</w:t>
      </w:r>
    </w:p>
    <w:p>
      <w:pPr>
        <w:spacing w:before="40" w:after="60"/>
      </w:pPr>
      <w:r>
        <w:rPr>
          <w:b w:val="0"/>
          <w:color w:val="667085"/>
          <w:sz w:val="18"/>
        </w:rPr>
        <w:t>Automatinė naujienų paieška (Google News, EE), 2026-08-01 – 2026-10-30: 3 pranešimų.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20"/>
        <w:gridCol w:w="1360"/>
        <w:gridCol w:w="7257"/>
      </w:tblGrid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2026-10-22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1F4E79"/>
                <w:sz w:val="14"/>
                <w:shd w:val="clear" w:color="auto" w:fill="EAF1F8"/>
              </w:rPr>
              <w:t xml:space="preserve"> REZULTATAI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0">
              <w:r>
                <w:rPr>
                  <w:color w:val="1B2430"/>
                  <w:sz w:val="18"/>
                </w:rPr>
                <w:t xml:space="preserve">Tegevust laiendav Bigbank suurendas kasumit</w:t>
              </w:r>
            </w:hyperlink>
            <w:r>
              <w:rPr>
                <w:b w:val="0"/>
                <w:color w:val="667085"/>
                <w:sz w:val="15"/>
              </w:rPr>
              <w:t xml:space="preserve">   Äripäev  ·  dar 1 panašūs pranešimai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2026-10-25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KITA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1">
              <w:r>
                <w:rPr>
                  <w:color w:val="1B2430"/>
                  <w:sz w:val="18"/>
                </w:rPr>
                <w:t xml:space="preserve">TÜ/Bigbank alustas karikavõistluste veerandfinaali veenva võiduga</w:t>
              </w:r>
            </w:hyperlink>
            <w:r>
              <w:rPr>
                <w:b w:val="0"/>
                <w:color w:val="667085"/>
                <w:sz w:val="15"/>
              </w:rPr>
              <w:t xml:space="preserve">   ERR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09</w:t>
        <w:tab/>
      </w:r>
      <w:r>
        <w:rPr>
          <w:b/>
          <w:color w:val="12355B"/>
          <w:sz w:val="28"/>
        </w:rPr>
        <w:t>ESG report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Exclusionary screening (companies)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involved in excluded sectors: controversial and nuclear weapons, tobacco, gambling and restricted sectors in fossil fuel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Bankas (vartojimo, būsto ir verslo paskolos)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Išskirtuose sektoriuose veiklos nėra</w:t>
            </w:r>
            <w:hyperlink r:id="rId15">
              <w:r>
                <w:rPr>
                  <w:color w:val="2A78D6"/>
                  <w:vertAlign w:val="superscript"/>
                  <w:sz w:val="15"/>
                </w:rPr>
                <w:t xml:space="preserve">4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red flag/signal related to controversies based on UN Global Compact, OECD Guidelines for Multinational Enterprises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Ginčų pagal JT Pasaulinį susitarimą ar EBPO gaires nerasta.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 the list of sanctions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Nerasta EU, UN, US OFAC konsoliduotuose sankcijų sąrašuose (automatinė patikra 2026-10-30).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Rankinė patikra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OFAC sankcijų paieška</w:t>
            </w:r>
            <w:hyperlink r:id="rId32">
              <w:r>
                <w:rPr>
                  <w:color w:val="2A78D6"/>
                  <w:vertAlign w:val="superscript"/>
                  <w:sz w:val="15"/>
                </w:rPr>
                <w:t xml:space="preserve">24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ES sankcijų žemėlapis</w:t>
            </w:r>
            <w:hyperlink r:id="rId33">
              <w:r>
                <w:rPr>
                  <w:color w:val="2A78D6"/>
                  <w:vertAlign w:val="superscript"/>
                  <w:sz w:val="15"/>
                </w:rPr>
                <w:t xml:space="preserve">25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SEB eNameChecker (vidinė SEB sistema).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issues were not identified from adverse media checks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Naujų neigiamų naujienų nerasta (2026-10-22).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Anksčiau: 2024 m. Finansų inspekcija nurodė pagerinti kredito rizikos nurašymų metodiką, baudos nebuvo</w:t>
            </w:r>
            <w:hyperlink r:id="rId34">
              <w:r>
                <w:rPr>
                  <w:color w:val="2A78D6"/>
                  <w:vertAlign w:val="superscript"/>
                  <w:sz w:val="15"/>
                </w:rPr>
                <w:t xml:space="preserve">26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Naujienų suvestinė 2026-08-01 – 2026-10-30: 3 pranešimų, iš jų su neigiamu žodžiu antraštėje – 0 (plačiau – skiltyje „Ką rašo spauda“).</w:t>
            </w:r>
          </w:p>
        </w:tc>
      </w:tr>
    </w:tbl>
    <w:p>
      <w:pPr>
        <w:spacing w:before="120" w:after="40"/>
      </w:pPr>
      <w:r>
        <w:rPr>
          <w:i/>
          <w:color w:val="333333"/>
          <w:sz w:val="18"/>
        </w:rPr>
        <w:t>In case any red flags, risks, unclarities were identified then additional checks (sanctions screening and adverse media checks) on the company’s Ultimate Beneficial Owners and/or senior management shall be performed.</w:t>
      </w:r>
    </w:p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ESG integration and positive screening (positive answers imply higher allocation)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promoting environmental or social characteristics (activities, ESG policy, good ESG rating, etc)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Metinėje ataskaitoje yra tvarumo ataskaita (nuo p. 40)</w:t>
            </w:r>
            <w:hyperlink r:id="rId35">
              <w:r>
                <w:rPr>
                  <w:color w:val="2A78D6"/>
                  <w:vertAlign w:val="superscript"/>
                  <w:sz w:val="15"/>
                </w:rPr>
                <w:t xml:space="preserve">27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activities of the company or it’s strategy is aligned with the taxonomy and/or Paris agreement targets (e.g. net zero commitment)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Tvarumo ataskaita rengiama pagal ESRS, su užtikrinimo išvada</w:t>
            </w:r>
            <w:hyperlink r:id="rId35">
              <w:r>
                <w:rPr>
                  <w:color w:val="2A78D6"/>
                  <w:vertAlign w:val="superscript"/>
                  <w:sz w:val="15"/>
                </w:rPr>
                <w:t xml:space="preserve">28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yellow flag/signal related to controversies based on UN Global Compact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Geltonų signalų nerasta.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fulfills the expectations from SEB thematic and sector policies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Taikoma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Investicijų politika</w:t>
            </w:r>
            <w:hyperlink r:id="rId36">
              <w:r>
                <w:rPr>
                  <w:color w:val="2A78D6"/>
                  <w:vertAlign w:val="superscript"/>
                  <w:sz w:val="15"/>
                </w:rPr>
                <w:t xml:space="preserve">29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Atitinka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Reguliuojamas ES bankas su tvarumo ataskaita</w:t>
            </w:r>
            <w:hyperlink r:id="rId35">
              <w:r>
                <w:rPr>
                  <w:color w:val="2A78D6"/>
                  <w:vertAlign w:val="superscript"/>
                  <w:sz w:val="15"/>
                </w:rPr>
                <w:t xml:space="preserve">27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Engagement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Is there a need for pro-active engagement with the company?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Nereikia.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Indicators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indicators of the company support the targets of sustainability and PAI indicators followed by the Fund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Tvarumo rodikliai skelbiami metinėje ataskaitoje</w:t>
            </w:r>
            <w:hyperlink r:id="rId35">
              <w:r>
                <w:rPr>
                  <w:color w:val="2A78D6"/>
                  <w:vertAlign w:val="superscript"/>
                  <w:sz w:val="15"/>
                </w:rPr>
                <w:t xml:space="preserve">27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spacing w:before="120" w:after="40"/>
      </w:pPr>
      <w:r>
        <w:rPr>
          <w:b/>
          <w:sz w:val="19"/>
        </w:rPr>
        <w:t xml:space="preserve">Conclusion: </w:t>
      </w:r>
      <w:r>
        <w:rPr>
          <w:b w:val="0"/>
          <w:sz w:val="19"/>
        </w:rPr>
        <w:t>Išimčių ir raudonų signalų nėra.</w:t>
      </w:r>
    </w:p>
    <w:p>
      <w:pPr>
        <w:spacing w:before="40" w:after="60"/>
      </w:pPr>
      <w:r>
        <w:rPr>
          <w:b w:val="0"/>
          <w:color w:val="667085"/>
          <w:sz w:val="16"/>
        </w:rPr>
        <w:t>Taikytos SEB politikos: Policy on Sustainability Considerations in Investments (SEB AB); Financial sector - no dedicated SEB sector policy (thematic policies applied); Environmental Policy on Climate, Nature and Water (thematic); Social and Human Rights Policy (thematic); Governance expectations in sector policies (anti-corruption, tax, reporting)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10</w:t>
        <w:tab/>
      </w:r>
      <w:r>
        <w:rPr>
          <w:b/>
          <w:color w:val="12355B"/>
          <w:sz w:val="28"/>
        </w:rPr>
        <w:t>Šaltiniai</w:t>
      </w:r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1.</w:t>
        <w:tab/>
      </w:r>
      <w:hyperlink r:id="rId12">
        <w:r>
          <w:rPr>
            <w:color w:val="2A78D6"/>
            <w:sz w:val="17"/>
          </w:rPr>
          <w:t xml:space="preserve">Bigbank - Reporting page, Moody's ratings,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2.</w:t>
        <w:tab/>
      </w:r>
      <w:hyperlink r:id="rId13">
        <w:r>
          <w:rPr>
            <w:color w:val="2A78D6"/>
            <w:sz w:val="17"/>
          </w:rPr>
          <w:t xml:space="preserve">Bigbank - Investor relations (calendar),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3.</w:t>
        <w:tab/>
      </w:r>
      <w:hyperlink r:id="rId14">
        <w:r>
          <w:rPr>
            <w:color w:val="2A78D6"/>
            <w:sz w:val="17"/>
          </w:rPr>
          <w:t xml:space="preserve">Bigbank - Interim report Q3 2026 (unaudited, ET), p. 7,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4.</w:t>
        <w:tab/>
      </w:r>
      <w:hyperlink r:id="rId15">
        <w:r>
          <w:rPr>
            <w:color w:val="2A78D6"/>
            <w:sz w:val="17"/>
          </w:rPr>
          <w:t xml:space="preserve">Bigbank - Q3 2026 results blog,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5.</w:t>
        <w:tab/>
      </w:r>
      <w:hyperlink r:id="rId16">
        <w:r>
          <w:rPr>
            <w:color w:val="2A78D6"/>
            <w:sz w:val="17"/>
          </w:rPr>
          <w:t xml:space="preserve">Bigbank - Interim report Q3 2026 (unaudited, ET), p. 10,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6.</w:t>
        <w:tab/>
      </w:r>
      <w:hyperlink r:id="rId17">
        <w:r>
          <w:rPr>
            <w:color w:val="2A78D6"/>
            <w:sz w:val="17"/>
          </w:rPr>
          <w:t xml:space="preserve">Bigbank - AT1 August 2023 bond page and Final Terms,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7.</w:t>
        <w:tab/>
      </w:r>
      <w:hyperlink r:id="rId14">
        <w:r>
          <w:rPr>
            <w:color w:val="2A78D6"/>
            <w:sz w:val="17"/>
          </w:rPr>
          <w:t xml:space="preserve">Bigbank - Interim report Q3 2026 (unaudited, ET), p. 7, 11,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8.</w:t>
        <w:tab/>
      </w:r>
      <w:hyperlink r:id="rId14">
        <w:r>
          <w:rPr>
            <w:color w:val="2A78D6"/>
            <w:sz w:val="17"/>
          </w:rPr>
          <w:t xml:space="preserve">Bigbank - Interim report Q3 2026 (unaudited, ET), p. 7, 10,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9.</w:t>
        <w:tab/>
      </w:r>
      <w:hyperlink r:id="rId18">
        <w:r>
          <w:rPr>
            <w:color w:val="2A78D6"/>
            <w:sz w:val="17"/>
          </w:rPr>
          <w:t xml:space="preserve">Bigbank - Interim report Q3 2026 (unaudited, ET), p. 5,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10.</w:t>
        <w:tab/>
      </w:r>
      <w:hyperlink r:id="rId19">
        <w:r>
          <w:rPr>
            <w:color w:val="2A78D6"/>
            <w:sz w:val="17"/>
          </w:rPr>
          <w:t xml:space="preserve">Bigbank - Annual report 2025 incl. sustainability report (audited, ET), p. 15, 2026-02-27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11.</w:t>
        <w:tab/>
      </w:r>
      <w:hyperlink r:id="rId20">
        <w:r>
          <w:rPr>
            <w:color w:val="2A78D6"/>
            <w:sz w:val="17"/>
          </w:rPr>
          <w:t xml:space="preserve">Bigbank - Annual report 2025 incl. sustainability report (audited, ET), p. 18, 2026-02-27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12.</w:t>
        <w:tab/>
      </w:r>
      <w:hyperlink r:id="rId21">
        <w:r>
          <w:rPr>
            <w:color w:val="2A78D6"/>
            <w:sz w:val="17"/>
          </w:rPr>
          <w:t xml:space="preserve">Bigbank - Annual report 2025 incl. sustainability report (audited, ET), p. 19, 2026-02-27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13.</w:t>
        <w:tab/>
      </w:r>
      <w:hyperlink r:id="rId22">
        <w:r>
          <w:rPr>
            <w:color w:val="2A78D6"/>
            <w:sz w:val="17"/>
          </w:rPr>
          <w:t xml:space="preserve">Bigbank - Interim report Q3 2026 (unaudited, ET), p. 11,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14.</w:t>
        <w:tab/>
      </w:r>
      <w:hyperlink r:id="rId23">
        <w:r>
          <w:rPr>
            <w:color w:val="2A78D6"/>
            <w:sz w:val="17"/>
          </w:rPr>
          <w:t xml:space="preserve">Bigbank - Interim report Q3 2026 (unaudited, ET), p. 18,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15.</w:t>
        <w:tab/>
      </w:r>
      <w:hyperlink r:id="rId24">
        <w:r>
          <w:rPr>
            <w:color w:val="2A78D6"/>
            <w:sz w:val="17"/>
          </w:rPr>
          <w:t xml:space="preserve">Bigbank - Interim report Q3 2026 (unaudited, ET), p. 14,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16.</w:t>
        <w:tab/>
      </w:r>
      <w:hyperlink r:id="rId20">
        <w:r>
          <w:rPr>
            <w:color w:val="2A78D6"/>
            <w:sz w:val="17"/>
          </w:rPr>
          <w:t xml:space="preserve">Bigbank - Annual report 2025 incl. sustainability report (audited, ET), p. 18-19, 2026-02-27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17.</w:t>
        <w:tab/>
      </w:r>
      <w:hyperlink r:id="rId26">
        <w:r>
          <w:rPr>
            <w:color w:val="2A78D6"/>
            <w:sz w:val="17"/>
          </w:rPr>
          <w:t xml:space="preserve">Bigbank - Annual report 2025 incl. sustainability report (audited, ET), p. 13, 2026-02-27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18.</w:t>
        <w:tab/>
      </w:r>
      <w:hyperlink r:id="rId27">
        <w:r>
          <w:rPr>
            <w:color w:val="2A78D6"/>
            <w:sz w:val="17"/>
          </w:rPr>
          <w:t xml:space="preserve">Bigbank - Interim report Q3 2026 (unaudited, ET), p. 13,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19.</w:t>
        <w:tab/>
      </w:r>
      <w:hyperlink r:id="rId28">
        <w:r>
          <w:rPr>
            <w:color w:val="2A78D6"/>
            <w:sz w:val="17"/>
          </w:rPr>
          <w:t xml:space="preserve">Bigbank - Terms and Conditions of AT1 Temporary Write-Down Notes (August 2023) (6(e)), 2023-08-09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20.</w:t>
        <w:tab/>
      </w:r>
      <w:hyperlink r:id="rId28">
        <w:r>
          <w:rPr>
            <w:color w:val="2A78D6"/>
            <w:sz w:val="17"/>
          </w:rPr>
          <w:t xml:space="preserve">Bigbank - Terms and Conditions of AT1 Temporary Write-Down Notes (August 2023) (5(2), 7), 2023-08-09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21.</w:t>
        <w:tab/>
      </w:r>
      <w:hyperlink r:id="rId28">
        <w:r>
          <w:rPr>
            <w:color w:val="2A78D6"/>
            <w:sz w:val="17"/>
          </w:rPr>
          <w:t xml:space="preserve">Bigbank - Terms and Conditions of AT1 Temporary Write-Down Notes (August 2023) (4), 2023-08-09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22.</w:t>
        <w:tab/>
      </w:r>
      <w:hyperlink r:id="rId18">
        <w:r>
          <w:rPr>
            <w:color w:val="2A78D6"/>
            <w:sz w:val="17"/>
          </w:rPr>
          <w:t xml:space="preserve">Bigbank - Interim report Q3 2026 (unaudited, ET), p. 5, 7,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23.</w:t>
        <w:tab/>
      </w:r>
      <w:hyperlink r:id="rId29">
        <w:r>
          <w:rPr>
            <w:color w:val="2A78D6"/>
            <w:sz w:val="17"/>
          </w:rPr>
          <w:t xml:space="preserve">Bigbank - Interim report Q3 2026 (unaudited, ET), p. 6,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24.</w:t>
        <w:tab/>
      </w:r>
      <w:hyperlink r:id="rId32">
        <w:r>
          <w:rPr>
            <w:color w:val="2A78D6"/>
            <w:sz w:val="17"/>
          </w:rPr>
          <w:t xml:space="preserve">OFAC Sanctions List Search (US Treasury)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25.</w:t>
        <w:tab/>
      </w:r>
      <w:hyperlink r:id="rId33">
        <w:r>
          <w:rPr>
            <w:color w:val="2A78D6"/>
            <w:sz w:val="17"/>
          </w:rPr>
          <w:t xml:space="preserve">EU Sanctions Map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26.</w:t>
        <w:tab/>
      </w:r>
      <w:hyperlink r:id="rId34">
        <w:r>
          <w:rPr>
            <w:color w:val="2A78D6"/>
            <w:sz w:val="17"/>
          </w:rPr>
          <w:t xml:space="preserve">Finantsinspektsioon - precept to Bigbank AS, 2024-03-04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27.</w:t>
        <w:tab/>
      </w:r>
      <w:hyperlink r:id="rId35">
        <w:r>
          <w:rPr>
            <w:color w:val="2A78D6"/>
            <w:sz w:val="17"/>
          </w:rPr>
          <w:t xml:space="preserve">Bigbank - Annual report 2025 incl. sustainability report (audited, ET), p. 40, 2026-02-27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28.</w:t>
        <w:tab/>
      </w:r>
      <w:hyperlink r:id="rId35">
        <w:r>
          <w:rPr>
            <w:color w:val="2A78D6"/>
            <w:sz w:val="17"/>
          </w:rPr>
          <w:t xml:space="preserve">Bigbank - Annual report 2025 incl. sustainability report (audited, ET), p. 40, 222, 2026-02-27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29.</w:t>
        <w:tab/>
      </w:r>
      <w:hyperlink r:id="rId36">
        <w:r>
          <w:rPr>
            <w:color w:val="2A78D6"/>
            <w:sz w:val="17"/>
          </w:rPr>
          <w:t xml:space="preserve">SEB Policy on Sustainability Considerations in Investments (2026-04-15), 2026-04-15</w:t>
        </w:r>
      </w:hyperlink>
    </w:p>
    <w:p>
      <w:pPr>
        <w:spacing w:before="40" w:after="60"/>
      </w:pPr>
      <w:r>
        <w:rPr>
          <w:b w:val="0"/>
          <w:color w:val="667085"/>
          <w:sz w:val="16"/>
        </w:rPr>
        <w:t>Ataskaita parengta iš viešų šaltinių. Skaičiai pateikiami taip, kaip juos skelbia emitentas; maži numeriai prie teksto veda į šaltinių sąrašą.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20" w:right="1134" w:bottom="1020" w:left="1134" w:header="51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Bigbank · 9M2026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Bigbank · 9M2026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color="D5DCE4" w:space="4"/>
      </w:pBdr>
      <w:tabs>
        <w:tab w:pos="9638" w:val="right"/>
      </w:tabs>
    </w:pPr>
    <w:r>
      <w:rPr>
        <w:b/>
        <w:color w:val="12355B"/>
        <w:sz w:val="16"/>
      </w:rPr>
      <w:t>Bigbank</w:t>
    </w:r>
    <w:r>
      <w:rPr>
        <w:b w:val="0"/>
        <w:color w:val="667085"/>
        <w:sz w:val="16"/>
      </w:rPr>
      <w:tab/>
      <w:t>Emitento apžvalga · 9M2026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1B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investor.bigbank.eu/et/reporting/" TargetMode="External"/><Relationship Id="rId13" Type="http://schemas.openxmlformats.org/officeDocument/2006/relationships/hyperlink" Target="https://investor.bigbank.eu/et" TargetMode="External"/><Relationship Id="rId14" Type="http://schemas.openxmlformats.org/officeDocument/2006/relationships/hyperlink" Target="https://static.bigbank.eu/investor/assets/2026/10/Bigbank_vahearuanne_kv3_2026.pdf#page=7" TargetMode="External"/><Relationship Id="rId15" Type="http://schemas.openxmlformats.org/officeDocument/2006/relationships/hyperlink" Target="https://www.bigbank.ee/blogi/bigbanki-2026-aasta-kolmanda-kvartali-majandustulemused/" TargetMode="External"/><Relationship Id="rId16" Type="http://schemas.openxmlformats.org/officeDocument/2006/relationships/hyperlink" Target="https://static.bigbank.eu/investor/assets/2026/10/Bigbank_vahearuanne_kv3_2026.pdf#page=10" TargetMode="External"/><Relationship Id="rId17" Type="http://schemas.openxmlformats.org/officeDocument/2006/relationships/hyperlink" Target="https://investor.bigbank.eu/et/allutatud-volakirjad/?bond=at1-august-2023" TargetMode="External"/><Relationship Id="rId18" Type="http://schemas.openxmlformats.org/officeDocument/2006/relationships/hyperlink" Target="https://static.bigbank.eu/investor/assets/2026/10/Bigbank_vahearuanne_kv3_2026.pdf#page=5" TargetMode="External"/><Relationship Id="rId19" Type="http://schemas.openxmlformats.org/officeDocument/2006/relationships/hyperlink" Target="https://static.bigbank.eu/investor/assets/2026/02/Bigbank_aastaaruanne_2025.pdf#page=15" TargetMode="External"/><Relationship Id="rId20" Type="http://schemas.openxmlformats.org/officeDocument/2006/relationships/hyperlink" Target="https://static.bigbank.eu/investor/assets/2026/02/Bigbank_aastaaruanne_2025.pdf#page=18" TargetMode="External"/><Relationship Id="rId21" Type="http://schemas.openxmlformats.org/officeDocument/2006/relationships/hyperlink" Target="https://static.bigbank.eu/investor/assets/2026/02/Bigbank_aastaaruanne_2025.pdf#page=19" TargetMode="External"/><Relationship Id="rId22" Type="http://schemas.openxmlformats.org/officeDocument/2006/relationships/hyperlink" Target="https://static.bigbank.eu/investor/assets/2026/10/Bigbank_vahearuanne_kv3_2026.pdf#page=11" TargetMode="External"/><Relationship Id="rId23" Type="http://schemas.openxmlformats.org/officeDocument/2006/relationships/hyperlink" Target="https://static.bigbank.eu/investor/assets/2026/10/Bigbank_vahearuanne_kv3_2026.pdf#page=18" TargetMode="External"/><Relationship Id="rId24" Type="http://schemas.openxmlformats.org/officeDocument/2006/relationships/hyperlink" Target="https://static.bigbank.eu/investor/assets/2026/10/Bigbank_vahearuanne_kv3_2026.pdf#page=14" TargetMode="External"/><Relationship Id="rId25" Type="http://schemas.openxmlformats.org/officeDocument/2006/relationships/image" Target="media/image1.png"/><Relationship Id="rId26" Type="http://schemas.openxmlformats.org/officeDocument/2006/relationships/hyperlink" Target="https://static.bigbank.eu/investor/assets/2026/02/Bigbank_aastaaruanne_2025.pdf#page=13" TargetMode="External"/><Relationship Id="rId27" Type="http://schemas.openxmlformats.org/officeDocument/2006/relationships/hyperlink" Target="https://static.bigbank.eu/investor/assets/2026/10/Bigbank_vahearuanne_kv3_2026.pdf#page=13" TargetMode="External"/><Relationship Id="rId28" Type="http://schemas.openxmlformats.org/officeDocument/2006/relationships/hyperlink" Target="https://static.bigbank.eu/investor/assets/2023/09/Terms-and-Conditions-of-Bigbank-AT1-Temporary-Write-Down-Notes-August-2023-2.pdf" TargetMode="External"/><Relationship Id="rId29" Type="http://schemas.openxmlformats.org/officeDocument/2006/relationships/hyperlink" Target="https://static.bigbank.eu/investor/assets/2026/10/Bigbank_vahearuanne_kv3_2026.pdf#page=6" TargetMode="External"/><Relationship Id="rId30" Type="http://schemas.openxmlformats.org/officeDocument/2006/relationships/hyperlink" Target="https://news.google.com/rss/articles/CBMilAFBVV95cUxNM1BXV2xRT1BFZ0J3b29QSTcycTNsUUNvdGFCVnY1dVp1MUkwcjlFRnc4YnZ2enFqTFlSb09FdXBCeU1TeFBBYjExejkyczB6OXNidVg4enp1N20xWXVna0xlMG5tVk5TVld4TzNuOUxOendHQzhmZkdxMWJHMEtxYjFCR3Q1RHVzZjZ1X3hHbkh0VVJ0?oc=5" TargetMode="External"/><Relationship Id="rId31" Type="http://schemas.openxmlformats.org/officeDocument/2006/relationships/hyperlink" Target="https://news.google.com/rss/articles/CBMingFBVV95cUxQR0IxZjFIMzg4OVBJekxsVTRRT180MjlRcHgxXzJJSlBNNEFma1U4QTVWWWlqaGttY0VQOFBSTVNGYUlWbDJXWlNyMk9PM2JKakpIMS1KZ3lhcThVZHBYUFFrSkl2ZEoyYnoxMndTNFljQTJTa3lid2pJMWpaUnN3WTVHUFRXWWJ3LWtlclhOOTZzRTlQM0N6V0JWY04wQQ?oc=5" TargetMode="External"/><Relationship Id="rId32" Type="http://schemas.openxmlformats.org/officeDocument/2006/relationships/hyperlink" Target="https://sanctionssearch.ofac.treas.gov/" TargetMode="External"/><Relationship Id="rId33" Type="http://schemas.openxmlformats.org/officeDocument/2006/relationships/hyperlink" Target="https://www.sanctionsmap.eu/#/main" TargetMode="External"/><Relationship Id="rId34" Type="http://schemas.openxmlformats.org/officeDocument/2006/relationships/hyperlink" Target="https://fi.ee/en/news/finantsinspektsioon-issued-precept-bigbank" TargetMode="External"/><Relationship Id="rId35" Type="http://schemas.openxmlformats.org/officeDocument/2006/relationships/hyperlink" Target="https://static.bigbank.eu/investor/assets/2026/02/Bigbank_aastaaruanne_2025.pdf#page=40" TargetMode="External"/><Relationship Id="rId36" Type="http://schemas.openxmlformats.org/officeDocument/2006/relationships/hyperlink" Target="https://sebgroup.com/sustainability/our-sustainability-strategy/polic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