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24" w:color="12355B" w:space="0"/>
        </w:pBdr>
        <w:spacing w:before="0" w:after="200" w:line="120" w:lineRule="auto"/>
      </w:pPr>
    </w:p>
    <w:tbl>
      <w:tblPr>
        <w:tblW w:w="9639"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030"/>
        <w:gridCol w:w="2608"/>
      </w:tblGrid>
      <w:tr>
        <w:tc>
          <w:tcPr>
            <w:tcW w:type="dxa" w:w="7030"/>
          </w:tcPr>
          <w:p>
            <w:pPr>
              <w:spacing w:before="0" w:after="0"/>
            </w:pPr>
            <w:r>
              <w:rPr>
                <w:b/>
                <w:caps/>
                <w:color w:val="2A78D6"/>
                <w:sz w:val="16"/>
              </w:rPr>
              <w:t>Issuer review · 6M2026</w:t>
            </w:r>
          </w:p>
          <w:p>
            <w:pPr>
              <w:spacing w:before="40" w:after="0"/>
            </w:pPr>
            <w:r>
              <w:rPr>
                <w:b/>
                <w:color w:val="12355B"/>
                <w:sz w:val="52"/>
              </w:rPr>
              <w:t>Ignitis grupė</w:t>
            </w:r>
          </w:p>
          <w:p>
            <w:pPr>
              <w:spacing w:before="40" w:after="0"/>
            </w:pPr>
            <w:r>
              <w:rPr>
                <w:b w:val="0"/>
                <w:color w:val="667085"/>
                <w:sz w:val="18"/>
              </w:rPr>
              <w:t>Lithuania · Energy utility (networks, renewables, flexibility, supply)</w:t>
            </w:r>
          </w:p>
        </w:tc>
        <w:tc>
          <w:tcPr>
            <w:tcW w:type="dxa" w:w="2608"/>
          </w:tcPr>
          <w:p>
            <w:pPr>
              <w:spacing w:before="440" w:after="0"/>
              <w:jc w:val="right"/>
            </w:pPr>
            <w:r>
              <w:rPr>
                <w:b/>
                <w:color w:val="1B7F3B"/>
                <w:sz w:val="18"/>
                <w:shd w:val="clear" w:color="auto" w:fill="E3F3E8"/>
              </w:rPr>
              <w:t xml:space="preserve">  ●  OK  </w:t>
            </w:r>
          </w:p>
        </w:tc>
      </w:tr>
    </w:tbl>
    <w:p>
      <w:pPr>
        <w:pBdr>
          <w:top w:val="single" w:sz="4" w:color="D5DCE4" w:space="0"/>
        </w:pBdr>
        <w:spacing w:before="120" w:after="200" w:line="120" w:lineRule="auto"/>
      </w:pPr>
    </w:p>
    <w:tbl>
      <w:tblPr>
        <w:tblW w:w="9639" w:type="dxa"/>
        <w:tblBorders>
          <w:top w:val="nil"/>
          <w:left w:val="nil"/>
          <w:bottom w:val="nil"/>
          <w:right w:val="nil"/>
          <w:insideH w:val="nil"/>
          <w:insideV w:val="nil"/>
        </w:tblBorders>
        <w:tblLayout w:type="fixed"/>
        <w:tblCellMar>
          <w:top w:w="160" w:type="dxa"/>
          <w:left w:w="220" w:type="dxa"/>
          <w:bottom w:w="160" w:type="dxa"/>
          <w:right w:w="220" w:type="dxa"/>
        </w:tblCellMar>
        <w:tblLook w:firstColumn="1" w:firstRow="1" w:lastColumn="0" w:lastRow="0" w:noHBand="0" w:noVBand="1" w:val="04A0"/>
      </w:tblPr>
      <w:tblGrid>
        <w:gridCol w:w="4819"/>
        <w:gridCol w:w="4819"/>
      </w:tblGrid>
      <w:tr>
        <w:tc>
          <w:tcPr>
            <w:tcW w:type="dxa" w:w="4819"/>
            <w:tcBorders>
              <w:top w:val="single" w:sz="12" w:color="12355B" w:space="0"/>
              <w:left w:val="nil"/>
              <w:bottom w:val="nil"/>
              <w:right w:val="nil"/>
            </w:tcBorders>
            <w:shd w:val="clear" w:color="auto" w:fill="F4F6F9"/>
          </w:tcPr>
          <w:p>
            <w:pPr>
              <w:spacing w:before="0" w:after="40"/>
            </w:pPr>
            <w:r>
              <w:rPr>
                <w:b/>
                <w:color w:val="12355B"/>
                <w:sz w:val="18"/>
              </w:rPr>
              <w:t>Key facts</w:t>
            </w:r>
          </w:p>
          <w:p>
            <w:pPr>
              <w:spacing w:before="80" w:after="0"/>
            </w:pPr>
            <w:r>
              <w:rPr>
                <w:b/>
                <w:caps/>
                <w:color w:val="667085"/>
                <w:sz w:val="14"/>
              </w:rPr>
              <w:t>Issuer rating</w:t>
            </w:r>
          </w:p>
          <w:p>
            <w:pPr>
              <w:spacing w:before="0" w:after="0"/>
            </w:pPr>
            <w:r>
              <w:rPr>
                <w:b w:val="0"/>
                <w:sz w:val="18"/>
              </w:rPr>
              <w:t>S&amp;P BBB+ (stable), 2026-07-28; Moody's Baa1 (stable), 2026</w:t>
            </w:r>
            <w:hyperlink r:id="rId12">
              <w:r>
                <w:rPr>
                  <w:color w:val="2A78D6"/>
                  <w:vertAlign w:val="superscript"/>
                  <w:sz w:val="15"/>
                </w:rPr>
                <w:t xml:space="preserve">1</w:t>
              </w:r>
            </w:hyperlink>
          </w:p>
          <w:p>
            <w:pPr>
              <w:spacing w:before="80" w:after="0"/>
            </w:pPr>
            <w:r>
              <w:rPr>
                <w:b/>
                <w:caps/>
                <w:color w:val="667085"/>
                <w:sz w:val="14"/>
              </w:rPr>
              <w:t>Analysis date</w:t>
            </w:r>
          </w:p>
          <w:p>
            <w:pPr>
              <w:spacing w:before="0" w:after="0"/>
            </w:pPr>
            <w:r>
              <w:rPr>
                <w:b w:val="0"/>
                <w:sz w:val="18"/>
              </w:rPr>
              <w:t>2026-10-22</w:t>
            </w:r>
          </w:p>
          <w:p>
            <w:pPr>
              <w:spacing w:before="80" w:after="0"/>
            </w:pPr>
            <w:r>
              <w:rPr>
                <w:b/>
                <w:caps/>
                <w:color w:val="667085"/>
                <w:sz w:val="14"/>
              </w:rPr>
              <w:t>Next report</w:t>
            </w:r>
          </w:p>
          <w:p>
            <w:pPr>
              <w:spacing w:before="0" w:after="0"/>
            </w:pPr>
            <w:r>
              <w:rPr>
                <w:b w:val="0"/>
                <w:sz w:val="18"/>
              </w:rPr>
              <w:t>Q3 2026 interim report - 2026-11-11</w:t>
            </w:r>
            <w:hyperlink r:id="rId13">
              <w:r>
                <w:rPr>
                  <w:color w:val="2A78D6"/>
                  <w:vertAlign w:val="superscript"/>
                  <w:sz w:val="15"/>
                </w:rPr>
                <w:t xml:space="preserve">2</w:t>
              </w:r>
            </w:hyperlink>
          </w:p>
          <w:p>
            <w:pPr>
              <w:spacing w:before="80" w:after="0"/>
            </w:pPr>
            <w:r>
              <w:rPr>
                <w:b/>
                <w:caps/>
                <w:color w:val="667085"/>
                <w:sz w:val="14"/>
              </w:rPr>
              <w:t>Country</w:t>
            </w:r>
          </w:p>
          <w:p>
            <w:pPr>
              <w:spacing w:before="0" w:after="0"/>
            </w:pPr>
            <w:r>
              <w:rPr>
                <w:b w:val="0"/>
                <w:sz w:val="18"/>
              </w:rPr>
              <w:t>Lithuania</w:t>
            </w:r>
          </w:p>
        </w:tc>
        <w:tc>
          <w:tcPr>
            <w:tcW w:type="dxa" w:w="4819"/>
            <w:tcBorders>
              <w:top w:val="single" w:sz="12" w:color="12355B" w:space="0"/>
              <w:left w:val="nil"/>
              <w:bottom w:val="nil"/>
              <w:right w:val="nil"/>
            </w:tcBorders>
            <w:shd w:val="clear" w:color="auto" w:fill="F4F6F9"/>
          </w:tcPr>
          <w:p>
            <w:pPr>
              <w:spacing w:before="0" w:after="40"/>
            </w:pPr>
            <w:r>
              <w:rPr>
                <w:b/>
                <w:color w:val="12355B"/>
                <w:sz w:val="18"/>
              </w:rPr>
              <w:t>Securities held</w:t>
            </w:r>
          </w:p>
          <w:p>
            <w:pPr>
              <w:spacing w:before="80" w:after="0"/>
            </w:pPr>
            <w:r>
              <w:rPr>
                <w:b/>
                <w:color w:val="1B2430"/>
                <w:sz w:val="17"/>
              </w:rPr>
              <w:t>Ignitis grupė ordinary share (IGN1L)</w:t>
            </w:r>
          </w:p>
          <w:p>
            <w:pPr>
              <w:spacing w:before="0" w:after="0"/>
            </w:pPr>
            <w:r>
              <w:rPr>
                <w:b w:val="0"/>
                <w:color w:val="667085"/>
                <w:sz w:val="15"/>
              </w:rPr>
              <w:t>LT0000115768  ·  share</w:t>
            </w:r>
          </w:p>
          <w:p>
            <w:pPr>
              <w:spacing w:before="80" w:after="0"/>
            </w:pPr>
            <w:r>
              <w:rPr>
                <w:b/>
                <w:color w:val="1B2430"/>
                <w:sz w:val="17"/>
              </w:rPr>
              <w:t>Ignitis 2.000% green notes 2027</w:t>
            </w:r>
            <w:r>
              <w:t xml:space="preserve"> </w:t>
              <w:drawing>
                <wp:inline xmlns:a="http://schemas.openxmlformats.org/drawingml/2006/main" xmlns:pic="http://schemas.openxmlformats.org/drawingml/2006/picture">
                  <wp:extent cx="91757" cy="91757"/>
                  <wp:docPr id="1" name="Picture 1"/>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XS1646530565  ·  2.000% · 2027-07-14</w:t>
            </w:r>
          </w:p>
          <w:p>
            <w:pPr>
              <w:spacing w:before="0" w:after="0"/>
            </w:pPr>
            <w:r>
              <w:rPr>
                <w:b w:val="0"/>
                <w:color w:val="12355B"/>
                <w:sz w:val="15"/>
              </w:rPr>
              <w:t>no separate rating found</w:t>
            </w:r>
          </w:p>
          <w:p>
            <w:pPr>
              <w:spacing w:before="80" w:after="0"/>
            </w:pPr>
            <w:r>
              <w:rPr>
                <w:b/>
                <w:color w:val="1B2430"/>
                <w:sz w:val="17"/>
              </w:rPr>
              <w:t>Ignitis 1.875% green notes 2028</w:t>
            </w:r>
            <w:r>
              <w:t xml:space="preserve"> </w:t>
              <w:drawing>
                <wp:inline xmlns:a="http://schemas.openxmlformats.org/drawingml/2006/main" xmlns:pic="http://schemas.openxmlformats.org/drawingml/2006/picture">
                  <wp:extent cx="91757" cy="91757"/>
                  <wp:docPr id="2" name="Picture 2"/>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p>
            <w:pPr>
              <w:spacing w:before="0" w:after="0"/>
            </w:pPr>
            <w:r>
              <w:rPr>
                <w:b w:val="0"/>
                <w:color w:val="667085"/>
                <w:sz w:val="15"/>
              </w:rPr>
              <w:t>XS1853999313  ·  1.875% · 2028-07-10</w:t>
            </w:r>
          </w:p>
          <w:p>
            <w:pPr>
              <w:spacing w:before="0" w:after="0"/>
            </w:pPr>
            <w:r>
              <w:rPr>
                <w:b w:val="0"/>
                <w:color w:val="12355B"/>
                <w:sz w:val="15"/>
              </w:rPr>
              <w:t>no separate rating found</w:t>
            </w:r>
          </w:p>
          <w:p>
            <w:pPr>
              <w:spacing w:before="80" w:after="0"/>
            </w:pPr>
            <w:r>
              <w:rPr>
                <w:b/>
                <w:color w:val="1B2430"/>
                <w:sz w:val="17"/>
              </w:rPr>
              <w:t>Ignitis 2.000% notes 2030</w:t>
            </w:r>
          </w:p>
          <w:p>
            <w:pPr>
              <w:spacing w:before="0" w:after="0"/>
            </w:pPr>
            <w:r>
              <w:rPr>
                <w:b w:val="0"/>
                <w:color w:val="667085"/>
                <w:sz w:val="15"/>
              </w:rPr>
              <w:t>XS2177349912  ·  2.000% · 2030-05-21</w:t>
            </w:r>
          </w:p>
          <w:p>
            <w:pPr>
              <w:spacing w:before="0" w:after="0"/>
            </w:pPr>
            <w:r>
              <w:rPr>
                <w:b w:val="0"/>
                <w:color w:val="12355B"/>
                <w:sz w:val="15"/>
              </w:rPr>
              <w:t>no separate rating found</w:t>
            </w:r>
          </w:p>
        </w:tc>
      </w:tr>
    </w:tbl>
    <w:p>
      <w:pPr>
        <w:spacing w:before="0" w:after="120"/>
      </w:pPr>
    </w:p>
    <w:tbl>
      <w:tblPr>
        <w:tblW w:w="9639" w:type="dxa"/>
        <w:tblBorders>
          <w:top w:val="nil"/>
          <w:left w:val="nil"/>
          <w:bottom w:val="nil"/>
          <w:right w:val="nil"/>
          <w:insideH w:val="nil"/>
          <w:insideV w:val="nil"/>
        </w:tblBorders>
        <w:tblLayout w:type="fixed"/>
        <w:tblCellMar>
          <w:top w:w="180" w:type="dxa"/>
          <w:left w:w="260" w:type="dxa"/>
          <w:bottom w:w="200" w:type="dxa"/>
          <w:right w:w="260" w:type="dxa"/>
        </w:tblCellMar>
        <w:tblLook w:firstColumn="1" w:firstRow="1" w:lastColumn="0" w:lastRow="0" w:noHBand="0" w:noVBand="1" w:val="04A0"/>
      </w:tblPr>
      <w:tblGrid>
        <w:gridCol w:w="9639"/>
      </w:tblGrid>
      <w:tr>
        <w:tc>
          <w:tcPr>
            <w:tcW w:type="dxa" w:w="9638"/>
            <w:tcBorders>
              <w:top w:val="nil"/>
              <w:left w:val="single" w:sz="24" w:color="1B7F3B" w:space="0"/>
              <w:bottom w:val="nil"/>
              <w:right w:val="nil"/>
            </w:tcBorders>
            <w:shd w:val="clear" w:color="auto" w:fill="E3F3E8"/>
          </w:tcPr>
          <w:p>
            <w:pPr>
              <w:spacing w:before="0" w:after="0" w:line="276" w:lineRule="auto"/>
            </w:pPr>
            <w:r>
              <w:rPr>
                <w:b/>
                <w:color w:val="1B2430"/>
                <w:sz w:val="21"/>
              </w:rPr>
              <w:t>Position OK.</w:t>
            </w:r>
            <w:r>
              <w:rPr>
                <w:b w:val="0"/>
                <w:color w:val="1B2430"/>
                <w:sz w:val="21"/>
              </w:rPr>
              <w:t xml:space="preserve"> Credit quality is stable: BBB+ / Baa1 ratings and leverage of 3.49x, inside the 3-4x target</w:t>
            </w:r>
            <w:hyperlink r:id="rId15">
              <w:r>
                <w:rPr>
                  <w:color w:val="2A78D6"/>
                  <w:vertAlign w:val="superscript"/>
                  <w:sz w:val="17"/>
                </w:rPr>
                <w:t xml:space="preserve">3</w:t>
              </w:r>
            </w:hyperlink>
            <w:r>
              <w:rPr>
                <w:color w:val="2A78D6"/>
                <w:vertAlign w:val="superscript"/>
              </w:rPr>
              <w:t>,</w:t>
            </w:r>
            <w:hyperlink r:id="rId12">
              <w:r>
                <w:rPr>
                  <w:color w:val="2A78D6"/>
                  <w:vertAlign w:val="superscript"/>
                  <w:sz w:val="17"/>
                </w:rPr>
                <w:t xml:space="preserve">1</w:t>
              </w:r>
            </w:hyperlink>
            <w:r>
              <w:rPr>
                <w:b w:val="0"/>
                <w:color w:val="1B2430"/>
                <w:sz w:val="21"/>
              </w:rPr>
              <w:t>. Profit is weaker, but the 2026 guidance was kept</w:t>
            </w:r>
            <w:hyperlink r:id="rId16">
              <w:r>
                <w:rPr>
                  <w:color w:val="2A78D6"/>
                  <w:vertAlign w:val="superscript"/>
                  <w:sz w:val="17"/>
                </w:rPr>
                <w:t xml:space="preserve">4</w:t>
              </w:r>
            </w:hyperlink>
            <w:r>
              <w:rPr>
                <w:b w:val="0"/>
                <w:color w:val="1B2430"/>
                <w:sz w:val="21"/>
              </w:rPr>
              <w:t>. The held bond XS1646530565 is subject to the issuer's tender offer of 2026-10-19</w:t>
            </w:r>
            <w:hyperlink r:id="rId17">
              <w:r>
                <w:rPr>
                  <w:color w:val="2A78D6"/>
                  <w:vertAlign w:val="superscript"/>
                  <w:sz w:val="17"/>
                </w:rPr>
                <w:t xml:space="preserve">5</w:t>
              </w:r>
            </w:hyperlink>
            <w:r>
              <w:rPr>
                <w:b w:val="0"/>
                <w:color w:val="1B2430"/>
                <w:sz w:val="21"/>
              </w:rPr>
              <w:t>.</w:t>
            </w:r>
          </w:p>
        </w:tc>
      </w:tr>
    </w:tbl>
    <w:p>
      <w:pPr>
        <w:spacing w:before="0" w:after="120"/>
      </w:pPr>
    </w:p>
    <w:tbl>
      <w:tblPr>
        <w:tblW w:w="9639" w:type="dxa"/>
        <w:tblBorders>
          <w:top w:val="nil"/>
          <w:left w:val="nil"/>
          <w:bottom w:val="nil"/>
          <w:right w:val="nil"/>
          <w:insideH w:val="nil"/>
          <w:insideV w:val="nil"/>
        </w:tblBorders>
        <w:tblLayout w:type="fixed"/>
        <w:tblCellMar>
          <w:top w:w="150" w:type="dxa"/>
          <w:left w:w="170" w:type="dxa"/>
          <w:bottom w:w="150" w:type="dxa"/>
          <w:right w:w="100" w:type="dxa"/>
        </w:tblCellMar>
        <w:tblLook w:firstColumn="1" w:firstRow="1" w:lastColumn="0" w:lastRow="0" w:noHBand="0" w:noVBand="1" w:val="04A0"/>
      </w:tblPr>
      <w:tblGrid>
        <w:gridCol w:w="2260"/>
        <w:gridCol w:w="198"/>
        <w:gridCol w:w="2260"/>
        <w:gridCol w:w="198"/>
        <w:gridCol w:w="2260"/>
        <w:gridCol w:w="198"/>
        <w:gridCol w:w="2260"/>
      </w:tblGrid>
      <w:tr>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EBITDA</w:t>
            </w:r>
            <w:r>
              <w:rPr>
                <w:b w:val="0"/>
                <w:color w:val="667085"/>
                <w:sz w:val="14"/>
              </w:rPr>
              <w:t xml:space="preserve">  ·  6M2026</w:t>
            </w:r>
          </w:p>
          <w:p>
            <w:pPr>
              <w:spacing w:before="0" w:after="20"/>
            </w:pPr>
            <w:r>
              <w:rPr>
                <w:b/>
                <w:color w:val="12355B"/>
                <w:sz w:val="34"/>
              </w:rPr>
              <w:t>306.6</w:t>
            </w:r>
            <w:r>
              <w:rPr>
                <w:b w:val="0"/>
                <w:color w:val="667085"/>
                <w:sz w:val="18"/>
              </w:rPr>
              <w:t xml:space="preserve"> EUR m</w:t>
            </w:r>
          </w:p>
          <w:p>
            <w:pPr>
              <w:spacing w:before="0" w:after="0"/>
            </w:pPr>
            <w:r>
              <w:rPr>
                <w:b w:val="0"/>
                <w:color w:val="667085"/>
                <w:sz w:val="15"/>
              </w:rPr>
              <w:t>▲ 1.9 %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Adjusted net profit</w:t>
            </w:r>
            <w:r>
              <w:rPr>
                <w:b w:val="0"/>
                <w:color w:val="667085"/>
                <w:sz w:val="14"/>
              </w:rPr>
              <w:t xml:space="preserve">  ·  6M2026</w:t>
            </w:r>
          </w:p>
          <w:p>
            <w:pPr>
              <w:spacing w:before="0" w:after="20"/>
            </w:pPr>
            <w:r>
              <w:rPr>
                <w:b/>
                <w:color w:val="12355B"/>
                <w:sz w:val="34"/>
              </w:rPr>
              <w:t>115.8</w:t>
            </w:r>
            <w:r>
              <w:rPr>
                <w:b w:val="0"/>
                <w:color w:val="667085"/>
                <w:sz w:val="18"/>
              </w:rPr>
              <w:t xml:space="preserve"> EUR m</w:t>
            </w:r>
          </w:p>
          <w:p>
            <w:pPr>
              <w:spacing w:before="0" w:after="0"/>
            </w:pPr>
            <w:r>
              <w:rPr>
                <w:b w:val="0"/>
                <w:color w:val="667085"/>
                <w:sz w:val="15"/>
              </w:rPr>
              <w:t>▼ 20.8 %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w:t>
            </w:r>
            <w:r>
              <w:rPr>
                <w:b w:val="0"/>
                <w:color w:val="667085"/>
                <w:sz w:val="14"/>
              </w:rPr>
              <w:t xml:space="preserve">  ·  6M2026</w:t>
            </w:r>
          </w:p>
          <w:p>
            <w:pPr>
              <w:spacing w:before="0" w:after="20"/>
            </w:pPr>
            <w:r>
              <w:rPr>
                <w:b/>
                <w:color w:val="12355B"/>
                <w:sz w:val="34"/>
              </w:rPr>
              <w:t>1,925.3</w:t>
            </w:r>
            <w:r>
              <w:rPr>
                <w:b w:val="0"/>
                <w:color w:val="667085"/>
                <w:sz w:val="18"/>
              </w:rPr>
              <w:t xml:space="preserve"> EUR m</w:t>
            </w:r>
          </w:p>
          <w:p>
            <w:pPr>
              <w:spacing w:before="0" w:after="0"/>
            </w:pPr>
            <w:r>
              <w:rPr>
                <w:b w:val="0"/>
                <w:color w:val="667085"/>
                <w:sz w:val="15"/>
              </w:rPr>
              <w:t>▲ 19.6 % vs 6M2025</w:t>
            </w:r>
          </w:p>
        </w:tc>
        <w:tc>
          <w:tcPr>
            <w:tcW w:type="dxa" w:w="198"/>
          </w:tcPr>
          <w:p/>
        </w:tc>
        <w:tc>
          <w:tcPr>
            <w:tcW w:type="dxa" w:w="2261"/>
            <w:tcBorders>
              <w:top w:val="single" w:sz="18" w:color="2A78D6" w:space="0"/>
              <w:left w:val="single" w:sz="4" w:color="D5DCE4" w:space="0"/>
              <w:bottom w:val="single" w:sz="4" w:color="D5DCE4" w:space="0"/>
              <w:right w:val="single" w:sz="4" w:color="D5DCE4" w:space="0"/>
            </w:tcBorders>
          </w:tcPr>
          <w:p>
            <w:pPr>
              <w:spacing w:before="0" w:after="60"/>
            </w:pPr>
            <w:r>
              <w:rPr>
                <w:b/>
                <w:caps/>
                <w:color w:val="667085"/>
                <w:sz w:val="14"/>
              </w:rPr>
              <w:t>Net debt / EBITDA</w:t>
            </w:r>
            <w:r>
              <w:rPr>
                <w:b w:val="0"/>
                <w:color w:val="667085"/>
                <w:sz w:val="14"/>
              </w:rPr>
              <w:t xml:space="preserve">  ·  6M2026</w:t>
            </w:r>
          </w:p>
          <w:p>
            <w:pPr>
              <w:spacing w:before="0" w:after="20"/>
            </w:pPr>
            <w:r>
              <w:rPr>
                <w:b/>
                <w:color w:val="12355B"/>
                <w:sz w:val="34"/>
              </w:rPr>
              <w:t>3.49</w:t>
            </w:r>
            <w:r>
              <w:rPr>
                <w:b w:val="0"/>
                <w:color w:val="667085"/>
                <w:sz w:val="18"/>
              </w:rPr>
              <w:t xml:space="preserve"> x</w:t>
            </w:r>
          </w:p>
          <w:p>
            <w:pPr>
              <w:spacing w:before="0" w:after="0"/>
            </w:pPr>
            <w:r>
              <w:rPr>
                <w:b w:val="0"/>
                <w:color w:val="667085"/>
                <w:sz w:val="15"/>
              </w:rPr>
              <w:t>▲ 0.5x vs 6M2025</w:t>
            </w:r>
          </w:p>
        </w:tc>
      </w:tr>
    </w:tbl>
    <w:p>
      <w:pPr>
        <w:spacing w:before="0" w:after="40"/>
      </w:pPr>
    </w:p>
    <w:p>
      <w:pPr>
        <w:keepNext/>
        <w:spacing w:before="200" w:after="100"/>
      </w:pPr>
      <w:r>
        <w:rPr>
          <w:b/>
          <w:color w:val="12355B"/>
          <w:sz w:val="26"/>
        </w:rPr>
        <w:t>Quick summary</w:t>
      </w:r>
    </w:p>
    <w:p>
      <w:pPr>
        <w:tabs>
          <w:tab w:pos="255" w:val="left"/>
        </w:tabs>
        <w:spacing w:before="0" w:after="80"/>
        <w:ind w:left="255" w:hanging="255"/>
      </w:pPr>
      <w:r>
        <w:rPr>
          <w:b/>
          <w:color w:val="2A78D6"/>
          <w:sz w:val="20"/>
        </w:rPr>
        <w:t>▪</w:t>
        <w:tab/>
      </w:r>
      <w:r>
        <w:rPr>
          <w:b/>
        </w:rPr>
        <w:t>Earnings on track:</w:t>
      </w:r>
      <w:r>
        <w:rPr>
          <w:b w:val="0"/>
        </w:rPr>
        <w:t xml:space="preserve"> 6M Adjusted EBITDA was EUR 306.6m, up 1.9%. Networks and Customers &amp; Solutions grew; Green Capacities fell to EUR 149.2m from 166.6m</w:t>
      </w:r>
      <w:hyperlink r:id="rId18">
        <w:r>
          <w:rPr>
            <w:color w:val="2A78D6"/>
            <w:vertAlign w:val="superscript"/>
            <w:sz w:val="17"/>
          </w:rPr>
          <w:t xml:space="preserve">6</w:t>
        </w:r>
      </w:hyperlink>
      <w:r>
        <w:rPr>
          <w:b w:val="0"/>
        </w:rPr>
        <w:t>. The 2026 guidance of EUR 550-600m was kept, and about half of it is already reached (51-56%)</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Debt under control:</w:t>
      </w:r>
      <w:r>
        <w:rPr>
          <w:b w:val="0"/>
        </w:rPr>
        <w:t xml:space="preserve"> net debt EUR 1,925.3m, almost unchanged since year-end (+0.7%). Leverage is 3.49x net debt / EBITDA. One metric lags: FFO / net debt 22.2% against a target of at least 23%</w:t>
      </w:r>
      <w:hyperlink r:id="rId15">
        <w:r>
          <w:rPr>
            <w:color w:val="2A78D6"/>
            <w:vertAlign w:val="superscript"/>
            <w:sz w:val="17"/>
          </w:rPr>
          <w:t xml:space="preserve">3</w:t>
        </w:r>
      </w:hyperlink>
      <w:r>
        <w:rPr>
          <w:color w:val="2A78D6"/>
          <w:vertAlign w:val="superscript"/>
        </w:rPr>
        <w:t>,</w:t>
      </w:r>
      <w:hyperlink r:id="rId19">
        <w:r>
          <w:rPr>
            <w:color w:val="2A78D6"/>
            <w:vertAlign w:val="superscript"/>
            <w:sz w:val="17"/>
          </w:rPr>
          <w:t xml:space="preserve">7</w:t>
        </w:r>
      </w:hyperlink>
      <w:r>
        <w:rPr>
          <w:b w:val="0"/>
        </w:rPr>
        <w:t>.</w:t>
      </w:r>
    </w:p>
    <w:p>
      <w:pPr>
        <w:tabs>
          <w:tab w:pos="255" w:val="left"/>
        </w:tabs>
        <w:spacing w:before="0" w:after="80"/>
        <w:ind w:left="255" w:hanging="255"/>
      </w:pPr>
      <w:r>
        <w:rPr>
          <w:b/>
          <w:color w:val="2A78D6"/>
          <w:sz w:val="20"/>
        </w:rPr>
        <w:t>▪</w:t>
        <w:tab/>
      </w:r>
      <w:r>
        <w:rPr>
          <w:b/>
        </w:rPr>
        <w:t>Ratings stable:</w:t>
      </w:r>
      <w:r>
        <w:rPr>
          <w:b w:val="0"/>
        </w:rPr>
        <w:t xml:space="preserve"> S&amp;P BBB+ (stable, confirmed 2026-07-28) and Moody's Baa1 (stable, first rating in 2026)</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Decision needed on a held bond:</w:t>
      </w:r>
      <w:r>
        <w:rPr>
          <w:b w:val="0"/>
        </w:rPr>
        <w:t xml:space="preserve"> on 2026-10-19 Ignitis offered to buy back XS1646530565 (2.000%, matures 2027-07-14). The buy-back is financed by a new EUR 300m green bond at 4.500% due 2031</w:t>
      </w:r>
      <w:hyperlink r:id="rId17">
        <w:r>
          <w:rPr>
            <w:color w:val="2A78D6"/>
            <w:vertAlign w:val="superscript"/>
            <w:sz w:val="17"/>
          </w:rPr>
          <w:t xml:space="preserve">5</w:t>
        </w:r>
      </w:hyperlink>
      <w:r>
        <w:rPr>
          <w:color w:val="2A78D6"/>
          <w:vertAlign w:val="superscript"/>
        </w:rPr>
        <w:t>,</w:t>
      </w:r>
      <w:hyperlink r:id="rId20">
        <w:r>
          <w:rPr>
            <w:color w:val="2A78D6"/>
            <w:vertAlign w:val="superscript"/>
            <w:sz w:val="17"/>
          </w:rPr>
          <w:t xml:space="preserve">8</w:t>
        </w:r>
      </w:hyperlink>
      <w:r>
        <w:rPr>
          <w:b w:val="0"/>
        </w:rPr>
        <w:t>.</w:t>
      </w:r>
    </w:p>
    <w:p>
      <w:pPr>
        <w:tabs>
          <w:tab w:pos="255" w:val="left"/>
        </w:tabs>
        <w:spacing w:before="0" w:after="80"/>
        <w:ind w:left="255" w:hanging="255"/>
      </w:pPr>
      <w:r>
        <w:rPr>
          <w:b/>
          <w:color w:val="2A78D6"/>
          <w:sz w:val="20"/>
        </w:rPr>
        <w:t>▪</w:t>
        <w:tab/>
      </w:r>
      <w:r>
        <w:rPr>
          <w:b/>
        </w:rPr>
        <w:t>Profit is the weak spot:</w:t>
      </w:r>
      <w:r>
        <w:rPr>
          <w:b w:val="0"/>
        </w:rPr>
        <w:t xml:space="preserve"> adjusted net profit fell 20.8% to EUR 115.8m. Return on capital (Adjusted ROCE, LTM) dropped to 6.7% from 8.6%</w:t>
      </w:r>
      <w:hyperlink r:id="rId21">
        <w:r>
          <w:rPr>
            <w:color w:val="2A78D6"/>
            <w:vertAlign w:val="superscript"/>
            <w:sz w:val="17"/>
          </w:rPr>
          <w:t xml:space="preserve">9</w:t>
        </w:r>
      </w:hyperlink>
      <w:r>
        <w:rPr>
          <w:b w:val="0"/>
        </w:rPr>
        <w:t>.</w:t>
      </w:r>
    </w:p>
    <w:p>
      <w:pPr>
        <w:keepNext/>
        <w:pBdr>
          <w:bottom w:val="single" w:sz="8" w:color="12355B" w:space="4"/>
        </w:pBdr>
        <w:tabs>
          <w:tab w:pos="482" w:val="left"/>
        </w:tabs>
        <w:spacing w:before="360" w:after="160"/>
      </w:pPr>
      <w:r>
        <w:rPr>
          <w:b/>
          <w:color w:val="2A78D6"/>
          <w:sz w:val="18"/>
        </w:rPr>
        <w:t>01</w:t>
        <w:tab/>
      </w:r>
      <w:r>
        <w:rPr>
          <w:b/>
          <w:color w:val="12355B"/>
          <w:sz w:val="28"/>
        </w:rPr>
        <w:t>Instruments held and ISINs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1457"/>
        <w:gridCol w:w="2241"/>
        <w:gridCol w:w="1064"/>
        <w:gridCol w:w="1120"/>
        <w:gridCol w:w="1569"/>
        <w:gridCol w:w="2185"/>
      </w:tblGrid>
      <w:tr>
        <w:tc>
          <w:tcPr>
            <w:tcW w:type="dxa" w:w="1457"/>
            <w:tcBorders>
              <w:top w:val="nil"/>
              <w:left w:val="nil"/>
              <w:bottom w:val="single" w:sz="8" w:color="12355B" w:space="0"/>
              <w:right w:val="nil"/>
            </w:tcBorders>
          </w:tcPr>
          <w:p>
            <w:pPr>
              <w:spacing w:before="0" w:after="0"/>
            </w:pPr>
            <w:r>
              <w:rPr>
                <w:b/>
                <w:caps/>
                <w:color w:val="667085"/>
                <w:sz w:val="14"/>
              </w:rPr>
              <w:t>ISIN</w:t>
            </w:r>
          </w:p>
        </w:tc>
        <w:tc>
          <w:tcPr>
            <w:tcW w:type="dxa" w:w="2241"/>
            <w:tcBorders>
              <w:top w:val="nil"/>
              <w:left w:val="nil"/>
              <w:bottom w:val="single" w:sz="8" w:color="12355B" w:space="0"/>
              <w:right w:val="nil"/>
            </w:tcBorders>
          </w:tcPr>
          <w:p>
            <w:pPr>
              <w:spacing w:before="0" w:after="0"/>
            </w:pPr>
            <w:r>
              <w:rPr>
                <w:b/>
                <w:caps/>
                <w:color w:val="667085"/>
                <w:sz w:val="14"/>
              </w:rPr>
              <w:t>Instrument</w:t>
            </w:r>
          </w:p>
        </w:tc>
        <w:tc>
          <w:tcPr>
            <w:tcW w:type="dxa" w:w="1065"/>
            <w:tcBorders>
              <w:top w:val="nil"/>
              <w:left w:val="nil"/>
              <w:bottom w:val="single" w:sz="8" w:color="12355B" w:space="0"/>
              <w:right w:val="nil"/>
            </w:tcBorders>
          </w:tcPr>
          <w:p>
            <w:pPr>
              <w:spacing w:before="0" w:after="0"/>
              <w:jc w:val="right"/>
            </w:pPr>
            <w:r>
              <w:rPr>
                <w:b/>
                <w:caps/>
                <w:color w:val="667085"/>
                <w:sz w:val="14"/>
              </w:rPr>
              <w:t>Coupon</w:t>
            </w:r>
          </w:p>
        </w:tc>
        <w:tc>
          <w:tcPr>
            <w:tcW w:type="dxa" w:w="1121"/>
            <w:tcBorders>
              <w:top w:val="nil"/>
              <w:left w:val="nil"/>
              <w:bottom w:val="single" w:sz="8" w:color="12355B" w:space="0"/>
              <w:right w:val="nil"/>
            </w:tcBorders>
          </w:tcPr>
          <w:p>
            <w:pPr>
              <w:spacing w:before="0" w:after="0"/>
            </w:pPr>
            <w:r>
              <w:rPr>
                <w:b/>
                <w:caps/>
                <w:color w:val="667085"/>
                <w:sz w:val="14"/>
              </w:rPr>
              <w:t>Maturity</w:t>
            </w:r>
          </w:p>
        </w:tc>
        <w:tc>
          <w:tcPr>
            <w:tcW w:type="dxa" w:w="1569"/>
            <w:tcBorders>
              <w:top w:val="nil"/>
              <w:left w:val="nil"/>
              <w:bottom w:val="single" w:sz="8" w:color="12355B" w:space="0"/>
              <w:right w:val="nil"/>
            </w:tcBorders>
          </w:tcPr>
          <w:p>
            <w:pPr>
              <w:spacing w:before="0" w:after="0"/>
            </w:pPr>
            <w:r>
              <w:rPr>
                <w:b/>
                <w:caps/>
                <w:color w:val="667085"/>
                <w:sz w:val="14"/>
              </w:rPr>
              <w:t>Issue rating</w:t>
            </w:r>
          </w:p>
        </w:tc>
        <w:tc>
          <w:tcPr>
            <w:tcW w:type="dxa" w:w="2185"/>
            <w:tcBorders>
              <w:top w:val="nil"/>
              <w:left w:val="nil"/>
              <w:bottom w:val="single" w:sz="8" w:color="12355B" w:space="0"/>
              <w:right w:val="nil"/>
            </w:tcBorders>
          </w:tcPr>
          <w:p>
            <w:pPr>
              <w:spacing w:before="0" w:after="0"/>
            </w:pPr>
            <w:r>
              <w:rPr>
                <w:b/>
                <w:caps/>
                <w:color w:val="667085"/>
                <w:sz w:val="14"/>
              </w:rPr>
              <w:t>Note</w:t>
            </w:r>
          </w:p>
        </w:tc>
      </w:tr>
      <w:tr>
        <w:tc>
          <w:tcPr>
            <w:tcW w:type="dxa" w:w="1457"/>
            <w:tcBorders>
              <w:top w:val="nil"/>
              <w:left w:val="nil"/>
              <w:bottom w:val="single" w:sz="4" w:color="E6EAF0" w:space="0"/>
              <w:right w:val="nil"/>
            </w:tcBorders>
          </w:tcPr>
          <w:p>
            <w:pPr>
              <w:spacing w:before="0" w:after="0"/>
            </w:pPr>
            <w:r>
              <w:rPr>
                <w:b w:val="0"/>
                <w:sz w:val="17"/>
              </w:rPr>
              <w:t>LT0000115768</w:t>
            </w:r>
          </w:p>
        </w:tc>
        <w:tc>
          <w:tcPr>
            <w:tcW w:type="dxa" w:w="2241"/>
            <w:tcBorders>
              <w:top w:val="nil"/>
              <w:left w:val="nil"/>
              <w:bottom w:val="single" w:sz="4" w:color="E6EAF0" w:space="0"/>
              <w:right w:val="nil"/>
            </w:tcBorders>
          </w:tcPr>
          <w:p>
            <w:pPr>
              <w:spacing w:before="0" w:after="0"/>
            </w:pPr>
            <w:r>
              <w:rPr>
                <w:b w:val="0"/>
                <w:sz w:val="17"/>
              </w:rPr>
              <w:t>Ignitis grupė ordinary share (IGN1L)</w:t>
            </w:r>
          </w:p>
        </w:tc>
        <w:tc>
          <w:tcPr>
            <w:tcW w:type="dxa" w:w="1065"/>
            <w:tcBorders>
              <w:top w:val="nil"/>
              <w:left w:val="nil"/>
              <w:bottom w:val="single" w:sz="4" w:color="E6EAF0" w:space="0"/>
              <w:right w:val="nil"/>
            </w:tcBorders>
          </w:tcPr>
          <w:p>
            <w:pPr>
              <w:spacing w:before="0" w:after="0"/>
              <w:jc w:val="right"/>
            </w:pPr>
            <w:r>
              <w:rPr>
                <w:b w:val="0"/>
                <w:sz w:val="17"/>
              </w:rPr>
              <w:t>–</w:t>
            </w:r>
          </w:p>
        </w:tc>
        <w:tc>
          <w:tcPr>
            <w:tcW w:type="dxa" w:w="1121"/>
            <w:tcBorders>
              <w:top w:val="nil"/>
              <w:left w:val="nil"/>
              <w:bottom w:val="single" w:sz="4" w:color="E6EAF0" w:space="0"/>
              <w:right w:val="nil"/>
            </w:tcBorders>
          </w:tcPr>
          <w:p>
            <w:pPr>
              <w:spacing w:before="0" w:after="0"/>
            </w:pPr>
            <w:r>
              <w:rPr>
                <w:b w:val="0"/>
                <w:sz w:val="17"/>
              </w:rPr>
              <w:t>share</w:t>
            </w:r>
          </w:p>
        </w:tc>
        <w:tc>
          <w:tcPr>
            <w:tcW w:type="dxa" w:w="1569"/>
            <w:tcBorders>
              <w:top w:val="nil"/>
              <w:left w:val="nil"/>
              <w:bottom w:val="single" w:sz="4" w:color="E6EAF0" w:space="0"/>
              <w:right w:val="nil"/>
            </w:tcBorders>
          </w:tcPr>
          <w:p>
            <w:pPr>
              <w:spacing w:before="0" w:after="0"/>
            </w:pPr>
            <w:r>
              <w:rPr>
                <w:b w:val="0"/>
                <w:sz w:val="17"/>
              </w:rPr>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XS1646530565</w:t>
            </w:r>
          </w:p>
        </w:tc>
        <w:tc>
          <w:tcPr>
            <w:tcW w:type="dxa" w:w="2241"/>
            <w:tcBorders>
              <w:top w:val="nil"/>
              <w:left w:val="nil"/>
              <w:bottom w:val="single" w:sz="4" w:color="E6EAF0" w:space="0"/>
              <w:right w:val="nil"/>
            </w:tcBorders>
          </w:tcPr>
          <w:p>
            <w:pPr>
              <w:spacing w:before="0" w:after="0"/>
            </w:pPr>
            <w:r>
              <w:rPr>
                <w:b w:val="0"/>
                <w:sz w:val="17"/>
              </w:rPr>
              <w:t>Ignitis 2.000% green notes 2027</w:t>
            </w:r>
            <w:r>
              <w:t xml:space="preserve"> </w:t>
              <w:drawing>
                <wp:inline xmlns:a="http://schemas.openxmlformats.org/drawingml/2006/main" xmlns:pic="http://schemas.openxmlformats.org/drawingml/2006/picture">
                  <wp:extent cx="91757" cy="91757"/>
                  <wp:docPr id="3" name="Picture 3"/>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2027-07-14</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t>Tender offer for any and all notes announced 2026-10-19 (refinanced by new EuGB 4.500% 2031)</w:t>
            </w:r>
          </w:p>
        </w:tc>
      </w:tr>
      <w:tr>
        <w:tc>
          <w:tcPr>
            <w:tcW w:type="dxa" w:w="1457"/>
            <w:tcBorders>
              <w:top w:val="nil"/>
              <w:left w:val="nil"/>
              <w:bottom w:val="single" w:sz="4" w:color="E6EAF0" w:space="0"/>
              <w:right w:val="nil"/>
            </w:tcBorders>
          </w:tcPr>
          <w:p>
            <w:pPr>
              <w:spacing w:before="0" w:after="0"/>
            </w:pPr>
            <w:r>
              <w:rPr>
                <w:b w:val="0"/>
                <w:sz w:val="17"/>
              </w:rPr>
              <w:t>XS1853999313</w:t>
            </w:r>
          </w:p>
        </w:tc>
        <w:tc>
          <w:tcPr>
            <w:tcW w:type="dxa" w:w="2241"/>
            <w:tcBorders>
              <w:top w:val="nil"/>
              <w:left w:val="nil"/>
              <w:bottom w:val="single" w:sz="4" w:color="E6EAF0" w:space="0"/>
              <w:right w:val="nil"/>
            </w:tcBorders>
          </w:tcPr>
          <w:p>
            <w:pPr>
              <w:spacing w:before="0" w:after="0"/>
            </w:pPr>
            <w:r>
              <w:rPr>
                <w:b w:val="0"/>
                <w:sz w:val="17"/>
              </w:rPr>
              <w:t>Ignitis 1.875% green notes 2028</w:t>
            </w:r>
            <w:r>
              <w:t xml:space="preserve"> </w:t>
              <w:drawing>
                <wp:inline xmlns:a="http://schemas.openxmlformats.org/drawingml/2006/main" xmlns:pic="http://schemas.openxmlformats.org/drawingml/2006/picture">
                  <wp:extent cx="91757" cy="91757"/>
                  <wp:docPr id="4" name="Picture 4"/>
                  <wp:cNvGraphicFramePr>
                    <a:graphicFrameLocks noChangeAspect="1"/>
                  </wp:cNvGraphicFramePr>
                  <a:graphic>
                    <a:graphicData uri="http://schemas.openxmlformats.org/drawingml/2006/picture">
                      <pic:pic>
                        <pic:nvPicPr>
                          <pic:cNvPr id="0" name="leaf.png"/>
                          <pic:cNvPicPr/>
                        </pic:nvPicPr>
                        <pic:blipFill>
                          <a:blip r:embed="rId14"/>
                          <a:stretch>
                            <a:fillRect/>
                          </a:stretch>
                        </pic:blipFill>
                        <pic:spPr>
                          <a:xfrm>
                            <a:off x="0" y="0"/>
                            <a:ext cx="91757" cy="91757"/>
                          </a:xfrm>
                          <a:prstGeom prst="rect"/>
                        </pic:spPr>
                      </pic:pic>
                    </a:graphicData>
                  </a:graphic>
                </wp:inline>
              </w:drawing>
            </w:r>
            <w:r>
              <w:rPr>
                <w:b/>
                <w:color w:val="1B7F3B"/>
                <w:sz w:val="14"/>
              </w:rPr>
              <w:t xml:space="preserve"> Green bond</w:t>
            </w:r>
          </w:p>
        </w:tc>
        <w:tc>
          <w:tcPr>
            <w:tcW w:type="dxa" w:w="1065"/>
            <w:tcBorders>
              <w:top w:val="nil"/>
              <w:left w:val="nil"/>
              <w:bottom w:val="single" w:sz="4" w:color="E6EAF0" w:space="0"/>
              <w:right w:val="nil"/>
            </w:tcBorders>
          </w:tcPr>
          <w:p>
            <w:pPr>
              <w:spacing w:before="0" w:after="0"/>
              <w:jc w:val="right"/>
            </w:pPr>
            <w:r>
              <w:rPr>
                <w:b w:val="0"/>
                <w:sz w:val="17"/>
              </w:rPr>
              <w:t>1.875%</w:t>
            </w:r>
          </w:p>
        </w:tc>
        <w:tc>
          <w:tcPr>
            <w:tcW w:type="dxa" w:w="1121"/>
            <w:tcBorders>
              <w:top w:val="nil"/>
              <w:left w:val="nil"/>
              <w:bottom w:val="single" w:sz="4" w:color="E6EAF0" w:space="0"/>
              <w:right w:val="nil"/>
            </w:tcBorders>
          </w:tcPr>
          <w:p>
            <w:pPr>
              <w:spacing w:before="0" w:after="0"/>
            </w:pPr>
            <w:r>
              <w:rPr>
                <w:b w:val="0"/>
                <w:sz w:val="17"/>
              </w:rPr>
              <w:t>2028-07-10</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r>
        <w:tc>
          <w:tcPr>
            <w:tcW w:type="dxa" w:w="1457"/>
            <w:tcBorders>
              <w:top w:val="nil"/>
              <w:left w:val="nil"/>
              <w:bottom w:val="single" w:sz="4" w:color="E6EAF0" w:space="0"/>
              <w:right w:val="nil"/>
            </w:tcBorders>
          </w:tcPr>
          <w:p>
            <w:pPr>
              <w:spacing w:before="0" w:after="0"/>
            </w:pPr>
            <w:r>
              <w:rPr>
                <w:b w:val="0"/>
                <w:sz w:val="17"/>
              </w:rPr>
              <w:t>XS2177349912</w:t>
            </w:r>
          </w:p>
        </w:tc>
        <w:tc>
          <w:tcPr>
            <w:tcW w:type="dxa" w:w="2241"/>
            <w:tcBorders>
              <w:top w:val="nil"/>
              <w:left w:val="nil"/>
              <w:bottom w:val="single" w:sz="4" w:color="E6EAF0" w:space="0"/>
              <w:right w:val="nil"/>
            </w:tcBorders>
          </w:tcPr>
          <w:p>
            <w:pPr>
              <w:spacing w:before="0" w:after="0"/>
            </w:pPr>
            <w:r>
              <w:rPr>
                <w:b w:val="0"/>
                <w:sz w:val="17"/>
              </w:rPr>
              <w:t>Ignitis 2.000% notes 2030</w:t>
            </w:r>
          </w:p>
        </w:tc>
        <w:tc>
          <w:tcPr>
            <w:tcW w:type="dxa" w:w="1065"/>
            <w:tcBorders>
              <w:top w:val="nil"/>
              <w:left w:val="nil"/>
              <w:bottom w:val="single" w:sz="4" w:color="E6EAF0" w:space="0"/>
              <w:right w:val="nil"/>
            </w:tcBorders>
          </w:tcPr>
          <w:p>
            <w:pPr>
              <w:spacing w:before="0" w:after="0"/>
              <w:jc w:val="right"/>
            </w:pPr>
            <w:r>
              <w:rPr>
                <w:b w:val="0"/>
                <w:sz w:val="17"/>
              </w:rPr>
              <w:t>2.000%</w:t>
            </w:r>
          </w:p>
        </w:tc>
        <w:tc>
          <w:tcPr>
            <w:tcW w:type="dxa" w:w="1121"/>
            <w:tcBorders>
              <w:top w:val="nil"/>
              <w:left w:val="nil"/>
              <w:bottom w:val="single" w:sz="4" w:color="E6EAF0" w:space="0"/>
              <w:right w:val="nil"/>
            </w:tcBorders>
          </w:tcPr>
          <w:p>
            <w:pPr>
              <w:spacing w:before="0" w:after="0"/>
            </w:pPr>
            <w:r>
              <w:rPr>
                <w:b w:val="0"/>
                <w:sz w:val="17"/>
              </w:rPr>
              <w:t>2030-05-21</w:t>
            </w:r>
          </w:p>
        </w:tc>
        <w:tc>
          <w:tcPr>
            <w:tcW w:type="dxa" w:w="1569"/>
            <w:tcBorders>
              <w:top w:val="nil"/>
              <w:left w:val="nil"/>
              <w:bottom w:val="single" w:sz="4" w:color="E6EAF0" w:space="0"/>
              <w:right w:val="nil"/>
            </w:tcBorders>
          </w:tcPr>
          <w:p>
            <w:pPr>
              <w:spacing w:before="0" w:after="0"/>
            </w:pPr>
            <w:r>
              <w:rPr>
                <w:b w:val="0"/>
                <w:sz w:val="17"/>
              </w:rPr>
              <w:t>no separate rating found</w:t>
            </w:r>
          </w:p>
        </w:tc>
        <w:tc>
          <w:tcPr>
            <w:tcW w:type="dxa" w:w="2185"/>
            <w:tcBorders>
              <w:top w:val="nil"/>
              <w:left w:val="nil"/>
              <w:bottom w:val="single" w:sz="4" w:color="E6EAF0" w:space="0"/>
              <w:right w:val="nil"/>
            </w:tcBorders>
          </w:tcPr>
          <w:p>
            <w:pPr>
              <w:spacing w:before="0" w:after="0"/>
            </w:pPr>
            <w:r>
              <w:rPr>
                <w:b w:val="0"/>
                <w:sz w:val="17"/>
              </w:rPr>
            </w:r>
          </w:p>
        </w:tc>
      </w:tr>
    </w:tbl>
    <w:p>
      <w:pPr>
        <w:spacing w:before="0" w:after="40"/>
      </w:pPr>
    </w:p>
    <w:p>
      <w:pPr>
        <w:keepNext/>
        <w:pBdr>
          <w:bottom w:val="single" w:sz="8" w:color="12355B" w:space="4"/>
        </w:pBdr>
        <w:tabs>
          <w:tab w:pos="482" w:val="left"/>
        </w:tabs>
        <w:spacing w:before="360" w:after="160"/>
      </w:pPr>
      <w:r>
        <w:rPr>
          <w:b/>
          <w:color w:val="2A78D6"/>
          <w:sz w:val="18"/>
        </w:rPr>
        <w:t>02</w:t>
        <w:tab/>
      </w:r>
      <w:r>
        <w:rPr>
          <w:b/>
          <w:color w:val="12355B"/>
          <w:sz w:val="28"/>
        </w:rPr>
        <w:t>Key ratios</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864"/>
        <w:gridCol w:w="1156"/>
        <w:gridCol w:w="1156"/>
        <w:gridCol w:w="1156"/>
        <w:gridCol w:w="1156"/>
        <w:gridCol w:w="2148"/>
      </w:tblGrid>
      <w:tr>
        <w:tc>
          <w:tcPr>
            <w:tcW w:type="dxa" w:w="2864"/>
            <w:tcBorders>
              <w:top w:val="nil"/>
              <w:left w:val="nil"/>
              <w:bottom w:val="single" w:sz="8" w:color="12355B" w:space="0"/>
              <w:right w:val="nil"/>
            </w:tcBorders>
          </w:tcPr>
          <w:p>
            <w:pPr>
              <w:spacing w:before="0" w:after="0"/>
            </w:pPr>
            <w:r>
              <w:rPr>
                <w:b/>
                <w:caps/>
                <w:color w:val="667085"/>
                <w:sz w:val="14"/>
              </w:rPr>
              <w:t>Metric</w:t>
            </w:r>
          </w:p>
        </w:tc>
        <w:tc>
          <w:tcPr>
            <w:tcW w:type="dxa" w:w="1157"/>
            <w:tcBorders>
              <w:top w:val="nil"/>
              <w:left w:val="nil"/>
              <w:bottom w:val="single" w:sz="8" w:color="12355B" w:space="0"/>
              <w:right w:val="nil"/>
            </w:tcBorders>
          </w:tcPr>
          <w:p>
            <w:pPr>
              <w:spacing w:before="0" w:after="0"/>
              <w:jc w:val="right"/>
            </w:pPr>
            <w:r>
              <w:rPr>
                <w:b/>
                <w:caps/>
                <w:color w:val="667085"/>
                <w:sz w:val="14"/>
              </w:rPr>
              <w:t>FY2024</w:t>
            </w:r>
          </w:p>
        </w:tc>
        <w:tc>
          <w:tcPr>
            <w:tcW w:type="dxa" w:w="1157"/>
            <w:tcBorders>
              <w:top w:val="nil"/>
              <w:left w:val="nil"/>
              <w:bottom w:val="single" w:sz="8" w:color="12355B" w:space="0"/>
              <w:right w:val="nil"/>
            </w:tcBorders>
          </w:tcPr>
          <w:p>
            <w:pPr>
              <w:spacing w:before="0" w:after="0"/>
              <w:jc w:val="right"/>
            </w:pPr>
            <w:r>
              <w:rPr>
                <w:b/>
                <w:caps/>
                <w:color w:val="667085"/>
                <w:sz w:val="14"/>
              </w:rPr>
              <w:t>FY2025</w:t>
            </w:r>
          </w:p>
        </w:tc>
        <w:tc>
          <w:tcPr>
            <w:tcW w:type="dxa" w:w="1157"/>
            <w:tcBorders>
              <w:top w:val="nil"/>
              <w:left w:val="nil"/>
              <w:bottom w:val="single" w:sz="8" w:color="12355B" w:space="0"/>
              <w:right w:val="nil"/>
            </w:tcBorders>
          </w:tcPr>
          <w:p>
            <w:pPr>
              <w:spacing w:before="0" w:after="0"/>
              <w:jc w:val="right"/>
            </w:pPr>
            <w:r>
              <w:rPr>
                <w:b/>
                <w:caps/>
                <w:color w:val="667085"/>
                <w:sz w:val="14"/>
              </w:rPr>
              <w:t>6M2025</w:t>
            </w:r>
          </w:p>
        </w:tc>
        <w:tc>
          <w:tcPr>
            <w:tcW w:type="dxa" w:w="1157"/>
            <w:tcBorders>
              <w:top w:val="nil"/>
              <w:left w:val="nil"/>
              <w:bottom w:val="single" w:sz="8" w:color="12355B" w:space="0"/>
              <w:right w:val="nil"/>
            </w:tcBorders>
          </w:tcPr>
          <w:p>
            <w:pPr>
              <w:spacing w:before="0" w:after="0"/>
              <w:jc w:val="right"/>
            </w:pPr>
            <w:r>
              <w:rPr>
                <w:b/>
                <w:caps/>
                <w:color w:val="667085"/>
                <w:sz w:val="14"/>
              </w:rPr>
              <w:t>6M2026</w:t>
            </w:r>
          </w:p>
        </w:tc>
        <w:tc>
          <w:tcPr>
            <w:tcW w:type="dxa" w:w="2148"/>
            <w:tcBorders>
              <w:top w:val="nil"/>
              <w:left w:val="nil"/>
              <w:bottom w:val="single" w:sz="8" w:color="12355B" w:space="0"/>
              <w:right w:val="nil"/>
            </w:tcBorders>
          </w:tcPr>
          <w:p>
            <w:pPr>
              <w:spacing w:before="0" w:after="0"/>
              <w:jc w:val="right"/>
            </w:pPr>
            <w:r>
              <w:rPr>
                <w:b/>
                <w:caps/>
                <w:color w:val="667085"/>
                <w:sz w:val="14"/>
              </w:rPr>
              <w:t>Change</w:t>
            </w:r>
          </w:p>
        </w:tc>
      </w:tr>
      <w:tr>
        <w:tc>
          <w:tcPr>
            <w:tcW w:type="dxa" w:w="2864"/>
            <w:tcBorders>
              <w:top w:val="nil"/>
              <w:left w:val="nil"/>
              <w:bottom w:val="single" w:sz="4" w:color="E6EAF0" w:space="0"/>
              <w:right w:val="nil"/>
            </w:tcBorders>
          </w:tcPr>
          <w:p>
            <w:pPr>
              <w:spacing w:before="0" w:after="0"/>
            </w:pPr>
            <w:r>
              <w:rPr>
                <w:b w:val="0"/>
                <w:sz w:val="17"/>
              </w:rPr>
              <w:t>Revenue, EUR m</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1,298.0*</w:t>
            </w:r>
          </w:p>
        </w:tc>
        <w:tc>
          <w:tcPr>
            <w:tcW w:type="dxa" w:w="1157"/>
            <w:tcBorders>
              <w:top w:val="nil"/>
              <w:left w:val="nil"/>
              <w:bottom w:val="single" w:sz="4" w:color="E6EAF0" w:space="0"/>
              <w:right w:val="nil"/>
            </w:tcBorders>
          </w:tcPr>
          <w:p>
            <w:pPr>
              <w:spacing w:before="0" w:after="0"/>
              <w:jc w:val="right"/>
            </w:pPr>
            <w:r>
              <w:rPr>
                <w:b w:val="0"/>
                <w:sz w:val="17"/>
              </w:rPr>
              <w:t>1,497.5*</w:t>
            </w:r>
          </w:p>
        </w:tc>
        <w:tc>
          <w:tcPr>
            <w:tcW w:type="dxa" w:w="2148"/>
            <w:tcBorders>
              <w:top w:val="nil"/>
              <w:left w:val="nil"/>
              <w:bottom w:val="single" w:sz="4" w:color="E6EAF0" w:space="0"/>
              <w:right w:val="nil"/>
            </w:tcBorders>
          </w:tcPr>
          <w:p>
            <w:pPr>
              <w:spacing w:before="0" w:after="0"/>
              <w:jc w:val="right"/>
            </w:pPr>
            <w:r>
              <w:rPr>
                <w:b/>
                <w:color w:val="1B7F3B"/>
                <w:sz w:val="17"/>
              </w:rPr>
              <w:t>▲ 15.4 % vs 6M2025</w:t>
            </w:r>
          </w:p>
        </w:tc>
      </w:tr>
      <w:tr>
        <w:tc>
          <w:tcPr>
            <w:tcW w:type="dxa" w:w="2864"/>
            <w:tcBorders>
              <w:top w:val="nil"/>
              <w:left w:val="nil"/>
              <w:bottom w:val="single" w:sz="4" w:color="E6EAF0" w:space="0"/>
              <w:right w:val="nil"/>
            </w:tcBorders>
          </w:tcPr>
          <w:p>
            <w:pPr>
              <w:spacing w:before="0" w:after="0"/>
            </w:pPr>
            <w:r>
              <w:rPr>
                <w:b w:val="0"/>
                <w:sz w:val="17"/>
              </w:rPr>
              <w:t>Adjusted EBITDA,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527.9</w:t>
            </w:r>
          </w:p>
        </w:tc>
        <w:tc>
          <w:tcPr>
            <w:tcW w:type="dxa" w:w="1157"/>
            <w:tcBorders>
              <w:top w:val="nil"/>
              <w:left w:val="nil"/>
              <w:bottom w:val="single" w:sz="4" w:color="E6EAF0" w:space="0"/>
              <w:right w:val="nil"/>
            </w:tcBorders>
          </w:tcPr>
          <w:p>
            <w:pPr>
              <w:spacing w:before="0" w:after="0"/>
              <w:jc w:val="right"/>
            </w:pPr>
            <w:r>
              <w:rPr>
                <w:b w:val="0"/>
                <w:sz w:val="17"/>
              </w:rPr>
              <w:t>546.1</w:t>
            </w:r>
          </w:p>
        </w:tc>
        <w:tc>
          <w:tcPr>
            <w:tcW w:type="dxa" w:w="1157"/>
            <w:tcBorders>
              <w:top w:val="nil"/>
              <w:left w:val="nil"/>
              <w:bottom w:val="single" w:sz="4" w:color="E6EAF0" w:space="0"/>
              <w:right w:val="nil"/>
            </w:tcBorders>
          </w:tcPr>
          <w:p>
            <w:pPr>
              <w:spacing w:before="0" w:after="0"/>
              <w:jc w:val="right"/>
            </w:pPr>
            <w:r>
              <w:rPr>
                <w:b w:val="0"/>
                <w:sz w:val="17"/>
              </w:rPr>
              <w:t>300.8</w:t>
            </w:r>
          </w:p>
        </w:tc>
        <w:tc>
          <w:tcPr>
            <w:tcW w:type="dxa" w:w="1157"/>
            <w:tcBorders>
              <w:top w:val="nil"/>
              <w:left w:val="nil"/>
              <w:bottom w:val="single" w:sz="4" w:color="E6EAF0" w:space="0"/>
              <w:right w:val="nil"/>
            </w:tcBorders>
          </w:tcPr>
          <w:p>
            <w:pPr>
              <w:spacing w:before="0" w:after="0"/>
              <w:jc w:val="right"/>
            </w:pPr>
            <w:r>
              <w:rPr>
                <w:b w:val="0"/>
                <w:sz w:val="17"/>
              </w:rPr>
              <w:t>306.6</w:t>
            </w:r>
          </w:p>
        </w:tc>
        <w:tc>
          <w:tcPr>
            <w:tcW w:type="dxa" w:w="2148"/>
            <w:tcBorders>
              <w:top w:val="nil"/>
              <w:left w:val="nil"/>
              <w:bottom w:val="single" w:sz="4" w:color="E6EAF0" w:space="0"/>
              <w:right w:val="nil"/>
            </w:tcBorders>
          </w:tcPr>
          <w:p>
            <w:pPr>
              <w:spacing w:before="0" w:after="0"/>
              <w:jc w:val="right"/>
            </w:pPr>
            <w:r>
              <w:rPr>
                <w:b/>
                <w:color w:val="1B7F3B"/>
                <w:sz w:val="17"/>
              </w:rPr>
              <w:t>▲ 1.9 % vs 6M2025</w:t>
            </w:r>
          </w:p>
        </w:tc>
      </w:tr>
      <w:tr>
        <w:tc>
          <w:tcPr>
            <w:tcW w:type="dxa" w:w="2864"/>
            <w:tcBorders>
              <w:top w:val="nil"/>
              <w:left w:val="nil"/>
              <w:bottom w:val="single" w:sz="4" w:color="E6EAF0" w:space="0"/>
              <w:right w:val="nil"/>
            </w:tcBorders>
          </w:tcPr>
          <w:p>
            <w:pPr>
              <w:spacing w:before="0" w:after="0"/>
            </w:pPr>
            <w:r>
              <w:rPr>
                <w:b w:val="0"/>
                <w:sz w:val="17"/>
              </w:rPr>
              <w:t>EBITDA, EUR m</w:t>
            </w:r>
            <w:hyperlink r:id="rId23">
              <w:r>
                <w:rPr>
                  <w:color w:val="2A78D6"/>
                  <w:vertAlign w:val="superscript"/>
                  <w:sz w:val="14"/>
                </w:rPr>
                <w:t xml:space="preserve">11</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532.7</w:t>
            </w:r>
          </w:p>
        </w:tc>
        <w:tc>
          <w:tcPr>
            <w:tcW w:type="dxa" w:w="1157"/>
            <w:tcBorders>
              <w:top w:val="nil"/>
              <w:left w:val="nil"/>
              <w:bottom w:val="single" w:sz="4" w:color="E6EAF0" w:space="0"/>
              <w:right w:val="nil"/>
            </w:tcBorders>
          </w:tcPr>
          <w:p>
            <w:pPr>
              <w:spacing w:before="0" w:after="0"/>
              <w:jc w:val="right"/>
            </w:pPr>
            <w:r>
              <w:rPr>
                <w:b w:val="0"/>
                <w:sz w:val="17"/>
              </w:rPr>
              <w:t>482.1</w:t>
            </w:r>
          </w:p>
        </w:tc>
        <w:tc>
          <w:tcPr>
            <w:tcW w:type="dxa" w:w="1157"/>
            <w:tcBorders>
              <w:top w:val="nil"/>
              <w:left w:val="nil"/>
              <w:bottom w:val="single" w:sz="4" w:color="E6EAF0" w:space="0"/>
              <w:right w:val="nil"/>
            </w:tcBorders>
          </w:tcPr>
          <w:p>
            <w:pPr>
              <w:spacing w:before="0" w:after="0"/>
              <w:jc w:val="right"/>
            </w:pPr>
            <w:r>
              <w:rPr>
                <w:b w:val="0"/>
                <w:sz w:val="17"/>
              </w:rPr>
              <w:t>262.5</w:t>
            </w:r>
          </w:p>
        </w:tc>
        <w:tc>
          <w:tcPr>
            <w:tcW w:type="dxa" w:w="1157"/>
            <w:tcBorders>
              <w:top w:val="nil"/>
              <w:left w:val="nil"/>
              <w:bottom w:val="single" w:sz="4" w:color="E6EAF0" w:space="0"/>
              <w:right w:val="nil"/>
            </w:tcBorders>
          </w:tcPr>
          <w:p>
            <w:pPr>
              <w:spacing w:before="0" w:after="0"/>
              <w:jc w:val="right"/>
            </w:pPr>
            <w:r>
              <w:rPr>
                <w:b w:val="0"/>
                <w:sz w:val="17"/>
              </w:rPr>
              <w:t>303.5</w:t>
            </w:r>
          </w:p>
        </w:tc>
        <w:tc>
          <w:tcPr>
            <w:tcW w:type="dxa" w:w="2148"/>
            <w:tcBorders>
              <w:top w:val="nil"/>
              <w:left w:val="nil"/>
              <w:bottom w:val="single" w:sz="4" w:color="E6EAF0" w:space="0"/>
              <w:right w:val="nil"/>
            </w:tcBorders>
          </w:tcPr>
          <w:p>
            <w:pPr>
              <w:spacing w:before="0" w:after="0"/>
              <w:jc w:val="right"/>
            </w:pPr>
            <w:r>
              <w:rPr>
                <w:b/>
                <w:color w:val="1B7F3B"/>
                <w:sz w:val="17"/>
              </w:rPr>
              <w:t>▲ 15.6 % vs 6M2025</w:t>
            </w:r>
          </w:p>
        </w:tc>
      </w:tr>
      <w:tr>
        <w:tc>
          <w:tcPr>
            <w:tcW w:type="dxa" w:w="2864"/>
            <w:tcBorders>
              <w:top w:val="nil"/>
              <w:left w:val="nil"/>
              <w:bottom w:val="single" w:sz="4" w:color="E6EAF0" w:space="0"/>
              <w:right w:val="nil"/>
            </w:tcBorders>
          </w:tcPr>
          <w:p>
            <w:pPr>
              <w:spacing w:before="0" w:after="0"/>
            </w:pPr>
            <w:r>
              <w:rPr>
                <w:b w:val="0"/>
                <w:sz w:val="17"/>
              </w:rPr>
              <w:t>Adjusted net profit,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277.5</w:t>
            </w:r>
          </w:p>
        </w:tc>
        <w:tc>
          <w:tcPr>
            <w:tcW w:type="dxa" w:w="1157"/>
            <w:tcBorders>
              <w:top w:val="nil"/>
              <w:left w:val="nil"/>
              <w:bottom w:val="single" w:sz="4" w:color="E6EAF0" w:space="0"/>
              <w:right w:val="nil"/>
            </w:tcBorders>
          </w:tcPr>
          <w:p>
            <w:pPr>
              <w:spacing w:before="0" w:after="0"/>
              <w:jc w:val="right"/>
            </w:pPr>
            <w:r>
              <w:rPr>
                <w:b w:val="0"/>
                <w:sz w:val="17"/>
              </w:rPr>
              <w:t>225.7</w:t>
            </w:r>
          </w:p>
        </w:tc>
        <w:tc>
          <w:tcPr>
            <w:tcW w:type="dxa" w:w="1157"/>
            <w:tcBorders>
              <w:top w:val="nil"/>
              <w:left w:val="nil"/>
              <w:bottom w:val="single" w:sz="4" w:color="E6EAF0" w:space="0"/>
              <w:right w:val="nil"/>
            </w:tcBorders>
          </w:tcPr>
          <w:p>
            <w:pPr>
              <w:spacing w:before="0" w:after="0"/>
              <w:jc w:val="right"/>
            </w:pPr>
            <w:r>
              <w:rPr>
                <w:b w:val="0"/>
                <w:sz w:val="17"/>
              </w:rPr>
              <w:t>146.2</w:t>
            </w:r>
          </w:p>
        </w:tc>
        <w:tc>
          <w:tcPr>
            <w:tcW w:type="dxa" w:w="1157"/>
            <w:tcBorders>
              <w:top w:val="nil"/>
              <w:left w:val="nil"/>
              <w:bottom w:val="single" w:sz="4" w:color="E6EAF0" w:space="0"/>
              <w:right w:val="nil"/>
            </w:tcBorders>
          </w:tcPr>
          <w:p>
            <w:pPr>
              <w:spacing w:before="0" w:after="0"/>
              <w:jc w:val="right"/>
            </w:pPr>
            <w:r>
              <w:rPr>
                <w:b w:val="0"/>
                <w:sz w:val="17"/>
              </w:rPr>
              <w:t>115.8</w:t>
            </w:r>
          </w:p>
        </w:tc>
        <w:tc>
          <w:tcPr>
            <w:tcW w:type="dxa" w:w="2148"/>
            <w:tcBorders>
              <w:top w:val="nil"/>
              <w:left w:val="nil"/>
              <w:bottom w:val="single" w:sz="4" w:color="E6EAF0" w:space="0"/>
              <w:right w:val="nil"/>
            </w:tcBorders>
          </w:tcPr>
          <w:p>
            <w:pPr>
              <w:spacing w:before="0" w:after="0"/>
              <w:jc w:val="right"/>
            </w:pPr>
            <w:r>
              <w:rPr>
                <w:b/>
                <w:color w:val="B42318"/>
                <w:sz w:val="17"/>
              </w:rPr>
              <w:t>▼ 20.8 % vs 6M2025</w:t>
            </w:r>
          </w:p>
        </w:tc>
      </w:tr>
      <w:tr>
        <w:tc>
          <w:tcPr>
            <w:tcW w:type="dxa" w:w="2864"/>
            <w:tcBorders>
              <w:top w:val="nil"/>
              <w:left w:val="nil"/>
              <w:bottom w:val="single" w:sz="4" w:color="E6EAF0" w:space="0"/>
              <w:right w:val="nil"/>
            </w:tcBorders>
          </w:tcPr>
          <w:p>
            <w:pPr>
              <w:spacing w:before="0" w:after="0"/>
            </w:pPr>
            <w:r>
              <w:rPr>
                <w:b w:val="0"/>
                <w:sz w:val="17"/>
              </w:rPr>
              <w:t>Net profit, EUR m</w:t>
            </w:r>
            <w:hyperlink r:id="rId23">
              <w:r>
                <w:rPr>
                  <w:color w:val="2A78D6"/>
                  <w:vertAlign w:val="superscript"/>
                  <w:sz w:val="14"/>
                </w:rPr>
                <w:t xml:space="preserve">11</w:t>
              </w:r>
            </w:hyperlink>
            <w:r>
              <w:rPr>
                <w:color w:val="2A78D6"/>
                <w:vertAlign w:val="superscript"/>
              </w:rPr>
              <w:t>,</w:t>
            </w:r>
            <w:hyperlink r:id="rId22">
              <w:r>
                <w:rPr>
                  <w:color w:val="2A78D6"/>
                  <w:vertAlign w:val="superscript"/>
                  <w:sz w:val="14"/>
                </w:rPr>
                <w:t xml:space="preserve">10</w:t>
              </w:r>
            </w:hyperlink>
          </w:p>
        </w:tc>
        <w:tc>
          <w:tcPr>
            <w:tcW w:type="dxa" w:w="1157"/>
            <w:tcBorders>
              <w:top w:val="nil"/>
              <w:left w:val="nil"/>
              <w:bottom w:val="single" w:sz="4" w:color="E6EAF0" w:space="0"/>
              <w:right w:val="nil"/>
            </w:tcBorders>
          </w:tcPr>
          <w:p>
            <w:pPr>
              <w:spacing w:before="0" w:after="0"/>
              <w:jc w:val="right"/>
            </w:pPr>
            <w:r>
              <w:rPr>
                <w:b w:val="0"/>
                <w:sz w:val="17"/>
              </w:rPr>
              <w:t>276.2</w:t>
            </w:r>
          </w:p>
        </w:tc>
        <w:tc>
          <w:tcPr>
            <w:tcW w:type="dxa" w:w="1157"/>
            <w:tcBorders>
              <w:top w:val="nil"/>
              <w:left w:val="nil"/>
              <w:bottom w:val="single" w:sz="4" w:color="E6EAF0" w:space="0"/>
              <w:right w:val="nil"/>
            </w:tcBorders>
          </w:tcPr>
          <w:p>
            <w:pPr>
              <w:spacing w:before="0" w:after="0"/>
              <w:jc w:val="right"/>
            </w:pPr>
            <w:r>
              <w:rPr>
                <w:b w:val="0"/>
                <w:sz w:val="17"/>
              </w:rPr>
              <w:t>163.9</w:t>
            </w:r>
          </w:p>
        </w:tc>
        <w:tc>
          <w:tcPr>
            <w:tcW w:type="dxa" w:w="1157"/>
            <w:tcBorders>
              <w:top w:val="nil"/>
              <w:left w:val="nil"/>
              <w:bottom w:val="single" w:sz="4" w:color="E6EAF0" w:space="0"/>
              <w:right w:val="nil"/>
            </w:tcBorders>
          </w:tcPr>
          <w:p>
            <w:pPr>
              <w:spacing w:before="0" w:after="0"/>
              <w:jc w:val="right"/>
            </w:pPr>
            <w:r>
              <w:rPr>
                <w:b w:val="0"/>
                <w:sz w:val="17"/>
              </w:rPr>
              <w:t>111.4*</w:t>
            </w:r>
          </w:p>
        </w:tc>
        <w:tc>
          <w:tcPr>
            <w:tcW w:type="dxa" w:w="1157"/>
            <w:tcBorders>
              <w:top w:val="nil"/>
              <w:left w:val="nil"/>
              <w:bottom w:val="single" w:sz="4" w:color="E6EAF0" w:space="0"/>
              <w:right w:val="nil"/>
            </w:tcBorders>
          </w:tcPr>
          <w:p>
            <w:pPr>
              <w:spacing w:before="0" w:after="0"/>
              <w:jc w:val="right"/>
            </w:pPr>
            <w:r>
              <w:rPr>
                <w:b w:val="0"/>
                <w:sz w:val="17"/>
              </w:rPr>
              <w:t>113.2*</w:t>
            </w:r>
          </w:p>
        </w:tc>
        <w:tc>
          <w:tcPr>
            <w:tcW w:type="dxa" w:w="2148"/>
            <w:tcBorders>
              <w:top w:val="nil"/>
              <w:left w:val="nil"/>
              <w:bottom w:val="single" w:sz="4" w:color="E6EAF0" w:space="0"/>
              <w:right w:val="nil"/>
            </w:tcBorders>
          </w:tcPr>
          <w:p>
            <w:pPr>
              <w:spacing w:before="0" w:after="0"/>
              <w:jc w:val="right"/>
            </w:pPr>
            <w:r>
              <w:rPr>
                <w:b/>
                <w:color w:val="1B7F3B"/>
                <w:sz w:val="17"/>
              </w:rPr>
              <w:t>▲ 1.6 % vs 6M2025</w:t>
            </w:r>
          </w:p>
        </w:tc>
      </w:tr>
      <w:tr>
        <w:tc>
          <w:tcPr>
            <w:tcW w:type="dxa" w:w="2864"/>
            <w:tcBorders>
              <w:top w:val="nil"/>
              <w:left w:val="nil"/>
              <w:bottom w:val="single" w:sz="4" w:color="E6EAF0" w:space="0"/>
              <w:right w:val="nil"/>
            </w:tcBorders>
          </w:tcPr>
          <w:p>
            <w:pPr>
              <w:spacing w:before="0" w:after="0"/>
            </w:pPr>
            <w:r>
              <w:rPr>
                <w:b w:val="0"/>
                <w:sz w:val="17"/>
              </w:rPr>
              <w:t>Investments, EUR m</w:t>
            </w:r>
            <w:hyperlink r:id="rId23">
              <w:r>
                <w:rPr>
                  <w:color w:val="2A78D6"/>
                  <w:vertAlign w:val="superscript"/>
                  <w:sz w:val="14"/>
                </w:rPr>
                <w:t xml:space="preserve">11</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812.0</w:t>
            </w:r>
          </w:p>
        </w:tc>
        <w:tc>
          <w:tcPr>
            <w:tcW w:type="dxa" w:w="1157"/>
            <w:tcBorders>
              <w:top w:val="nil"/>
              <w:left w:val="nil"/>
              <w:bottom w:val="single" w:sz="4" w:color="E6EAF0" w:space="0"/>
              <w:right w:val="nil"/>
            </w:tcBorders>
          </w:tcPr>
          <w:p>
            <w:pPr>
              <w:spacing w:before="0" w:after="0"/>
              <w:jc w:val="right"/>
            </w:pPr>
            <w:r>
              <w:rPr>
                <w:b w:val="0"/>
                <w:sz w:val="17"/>
              </w:rPr>
              <w:t>720.3</w:t>
            </w:r>
          </w:p>
        </w:tc>
        <w:tc>
          <w:tcPr>
            <w:tcW w:type="dxa" w:w="1157"/>
            <w:tcBorders>
              <w:top w:val="nil"/>
              <w:left w:val="nil"/>
              <w:bottom w:val="single" w:sz="4" w:color="E6EAF0" w:space="0"/>
              <w:right w:val="nil"/>
            </w:tcBorders>
          </w:tcPr>
          <w:p>
            <w:pPr>
              <w:spacing w:before="0" w:after="0"/>
              <w:jc w:val="right"/>
            </w:pPr>
            <w:r>
              <w:rPr>
                <w:b w:val="0"/>
                <w:sz w:val="17"/>
              </w:rPr>
              <w:t>343.2</w:t>
            </w:r>
          </w:p>
        </w:tc>
        <w:tc>
          <w:tcPr>
            <w:tcW w:type="dxa" w:w="1157"/>
            <w:tcBorders>
              <w:top w:val="nil"/>
              <w:left w:val="nil"/>
              <w:bottom w:val="single" w:sz="4" w:color="E6EAF0" w:space="0"/>
              <w:right w:val="nil"/>
            </w:tcBorders>
          </w:tcPr>
          <w:p>
            <w:pPr>
              <w:spacing w:before="0" w:after="0"/>
              <w:jc w:val="right"/>
            </w:pPr>
            <w:r>
              <w:rPr>
                <w:b w:val="0"/>
                <w:sz w:val="17"/>
              </w:rPr>
              <w:t>306.1</w:t>
            </w:r>
          </w:p>
        </w:tc>
        <w:tc>
          <w:tcPr>
            <w:tcW w:type="dxa" w:w="2148"/>
            <w:tcBorders>
              <w:top w:val="nil"/>
              <w:left w:val="nil"/>
              <w:bottom w:val="single" w:sz="4" w:color="E6EAF0" w:space="0"/>
              <w:right w:val="nil"/>
            </w:tcBorders>
          </w:tcPr>
          <w:p>
            <w:pPr>
              <w:spacing w:before="0" w:after="0"/>
              <w:jc w:val="right"/>
            </w:pPr>
            <w:r>
              <w:rPr>
                <w:b w:val="0"/>
                <w:color w:val="5F6B7A"/>
                <w:sz w:val="17"/>
              </w:rPr>
              <w:t>▼ 10.8 % vs 6M2025</w:t>
            </w:r>
          </w:p>
        </w:tc>
      </w:tr>
      <w:tr>
        <w:tc>
          <w:tcPr>
            <w:tcW w:type="dxa" w:w="2864"/>
            <w:tcBorders>
              <w:top w:val="nil"/>
              <w:left w:val="nil"/>
              <w:bottom w:val="single" w:sz="4" w:color="E6EAF0" w:space="0"/>
              <w:right w:val="nil"/>
            </w:tcBorders>
          </w:tcPr>
          <w:p>
            <w:pPr>
              <w:spacing w:before="0" w:after="0"/>
            </w:pPr>
            <w:r>
              <w:rPr>
                <w:b w:val="0"/>
                <w:sz w:val="17"/>
              </w:rPr>
              <w:t>FFO,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225.9*</w:t>
            </w:r>
          </w:p>
        </w:tc>
        <w:tc>
          <w:tcPr>
            <w:tcW w:type="dxa" w:w="1157"/>
            <w:tcBorders>
              <w:top w:val="nil"/>
              <w:left w:val="nil"/>
              <w:bottom w:val="single" w:sz="4" w:color="E6EAF0" w:space="0"/>
              <w:right w:val="nil"/>
            </w:tcBorders>
          </w:tcPr>
          <w:p>
            <w:pPr>
              <w:spacing w:before="0" w:after="0"/>
              <w:jc w:val="right"/>
            </w:pPr>
            <w:r>
              <w:rPr>
                <w:b w:val="0"/>
                <w:sz w:val="17"/>
              </w:rPr>
              <w:t>251.4*</w:t>
            </w:r>
          </w:p>
        </w:tc>
        <w:tc>
          <w:tcPr>
            <w:tcW w:type="dxa" w:w="2148"/>
            <w:tcBorders>
              <w:top w:val="nil"/>
              <w:left w:val="nil"/>
              <w:bottom w:val="single" w:sz="4" w:color="E6EAF0" w:space="0"/>
              <w:right w:val="nil"/>
            </w:tcBorders>
          </w:tcPr>
          <w:p>
            <w:pPr>
              <w:spacing w:before="0" w:after="0"/>
              <w:jc w:val="right"/>
            </w:pPr>
            <w:r>
              <w:rPr>
                <w:b/>
                <w:color w:val="1B7F3B"/>
                <w:sz w:val="17"/>
              </w:rPr>
              <w:t>▲ 11.3 % vs 6M2025</w:t>
            </w:r>
          </w:p>
        </w:tc>
      </w:tr>
      <w:tr>
        <w:tc>
          <w:tcPr>
            <w:tcW w:type="dxa" w:w="2864"/>
            <w:tcBorders>
              <w:top w:val="nil"/>
              <w:left w:val="nil"/>
              <w:bottom w:val="single" w:sz="4" w:color="E6EAF0" w:space="0"/>
              <w:right w:val="nil"/>
            </w:tcBorders>
          </w:tcPr>
          <w:p>
            <w:pPr>
              <w:spacing w:before="0" w:after="0"/>
            </w:pPr>
            <w:r>
              <w:rPr>
                <w:b w:val="0"/>
                <w:sz w:val="17"/>
              </w:rPr>
              <w:t>Free cash flow, EUR m</w:t>
            </w:r>
            <w:hyperlink r:id="rId25">
              <w:r>
                <w:rPr>
                  <w:color w:val="2A78D6"/>
                  <w:vertAlign w:val="superscript"/>
                  <w:sz w:val="14"/>
                </w:rPr>
                <w:t xml:space="preserve">13</w:t>
              </w:r>
            </w:hyperlink>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w:t>
            </w:r>
          </w:p>
        </w:tc>
        <w:tc>
          <w:tcPr>
            <w:tcW w:type="dxa" w:w="1157"/>
            <w:tcBorders>
              <w:top w:val="nil"/>
              <w:left w:val="nil"/>
              <w:bottom w:val="single" w:sz="4" w:color="E6EAF0" w:space="0"/>
              <w:right w:val="nil"/>
            </w:tcBorders>
          </w:tcPr>
          <w:p>
            <w:pPr>
              <w:spacing w:before="0" w:after="0"/>
              <w:jc w:val="right"/>
            </w:pPr>
            <w:r>
              <w:rPr>
                <w:b w:val="0"/>
                <w:sz w:val="17"/>
              </w:rPr>
              <w:t>64.0*</w:t>
            </w:r>
          </w:p>
        </w:tc>
        <w:tc>
          <w:tcPr>
            <w:tcW w:type="dxa" w:w="1157"/>
            <w:tcBorders>
              <w:top w:val="nil"/>
              <w:left w:val="nil"/>
              <w:bottom w:val="single" w:sz="4" w:color="E6EAF0" w:space="0"/>
              <w:right w:val="nil"/>
            </w:tcBorders>
          </w:tcPr>
          <w:p>
            <w:pPr>
              <w:spacing w:before="0" w:after="0"/>
              <w:jc w:val="right"/>
            </w:pPr>
            <w:r>
              <w:rPr>
                <w:b w:val="0"/>
                <w:sz w:val="17"/>
              </w:rPr>
              <w:t>5.3*</w:t>
            </w:r>
          </w:p>
        </w:tc>
        <w:tc>
          <w:tcPr>
            <w:tcW w:type="dxa" w:w="2148"/>
            <w:tcBorders>
              <w:top w:val="nil"/>
              <w:left w:val="nil"/>
              <w:bottom w:val="single" w:sz="4" w:color="E6EAF0" w:space="0"/>
              <w:right w:val="nil"/>
            </w:tcBorders>
          </w:tcPr>
          <w:p>
            <w:pPr>
              <w:spacing w:before="0" w:after="0"/>
              <w:jc w:val="right"/>
            </w:pPr>
            <w:r>
              <w:rPr>
                <w:b/>
                <w:color w:val="B42318"/>
                <w:sz w:val="17"/>
              </w:rPr>
              <w:t>▼ 91.7 % vs 6M2025</w:t>
            </w:r>
          </w:p>
        </w:tc>
      </w:tr>
      <w:tr>
        <w:tc>
          <w:tcPr>
            <w:tcW w:type="dxa" w:w="2864"/>
            <w:tcBorders>
              <w:top w:val="nil"/>
              <w:left w:val="nil"/>
              <w:bottom w:val="single" w:sz="4" w:color="E6EAF0" w:space="0"/>
              <w:right w:val="nil"/>
            </w:tcBorders>
          </w:tcPr>
          <w:p>
            <w:pPr>
              <w:spacing w:before="0" w:after="0"/>
            </w:pPr>
            <w:r>
              <w:rPr>
                <w:b w:val="0"/>
                <w:sz w:val="17"/>
              </w:rPr>
              <w:t>Net debt, EUR m</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1,612.3</w:t>
            </w:r>
          </w:p>
        </w:tc>
        <w:tc>
          <w:tcPr>
            <w:tcW w:type="dxa" w:w="1157"/>
            <w:tcBorders>
              <w:top w:val="nil"/>
              <w:left w:val="nil"/>
              <w:bottom w:val="single" w:sz="4" w:color="E6EAF0" w:space="0"/>
              <w:right w:val="nil"/>
            </w:tcBorders>
          </w:tcPr>
          <w:p>
            <w:pPr>
              <w:spacing w:before="0" w:after="0"/>
              <w:jc w:val="right"/>
            </w:pPr>
            <w:r>
              <w:rPr>
                <w:b w:val="0"/>
                <w:sz w:val="17"/>
              </w:rPr>
              <w:t>1,912.0</w:t>
            </w:r>
          </w:p>
        </w:tc>
        <w:tc>
          <w:tcPr>
            <w:tcW w:type="dxa" w:w="1157"/>
            <w:tcBorders>
              <w:top w:val="nil"/>
              <w:left w:val="nil"/>
              <w:bottom w:val="single" w:sz="4" w:color="E6EAF0" w:space="0"/>
              <w:right w:val="nil"/>
            </w:tcBorders>
          </w:tcPr>
          <w:p>
            <w:pPr>
              <w:spacing w:before="0" w:after="0"/>
              <w:jc w:val="right"/>
            </w:pPr>
            <w:r>
              <w:rPr>
                <w:b w:val="0"/>
                <w:sz w:val="17"/>
              </w:rPr>
              <w:t>1,609.9</w:t>
            </w:r>
          </w:p>
        </w:tc>
        <w:tc>
          <w:tcPr>
            <w:tcW w:type="dxa" w:w="1157"/>
            <w:tcBorders>
              <w:top w:val="nil"/>
              <w:left w:val="nil"/>
              <w:bottom w:val="single" w:sz="4" w:color="E6EAF0" w:space="0"/>
              <w:right w:val="nil"/>
            </w:tcBorders>
          </w:tcPr>
          <w:p>
            <w:pPr>
              <w:spacing w:before="0" w:after="0"/>
              <w:jc w:val="right"/>
            </w:pPr>
            <w:r>
              <w:rPr>
                <w:b w:val="0"/>
                <w:sz w:val="17"/>
              </w:rPr>
              <w:t>1,925.3</w:t>
            </w:r>
          </w:p>
        </w:tc>
        <w:tc>
          <w:tcPr>
            <w:tcW w:type="dxa" w:w="2148"/>
            <w:tcBorders>
              <w:top w:val="nil"/>
              <w:left w:val="nil"/>
              <w:bottom w:val="single" w:sz="4" w:color="E6EAF0" w:space="0"/>
              <w:right w:val="nil"/>
            </w:tcBorders>
          </w:tcPr>
          <w:p>
            <w:pPr>
              <w:spacing w:before="0" w:after="0"/>
              <w:jc w:val="right"/>
            </w:pPr>
            <w:r>
              <w:rPr>
                <w:b/>
                <w:color w:val="B42318"/>
                <w:sz w:val="17"/>
              </w:rPr>
              <w:t>▲ 19.6 % vs 6M2025</w:t>
            </w:r>
          </w:p>
        </w:tc>
      </w:tr>
      <w:tr>
        <w:tc>
          <w:tcPr>
            <w:tcW w:type="dxa" w:w="2864"/>
            <w:tcBorders>
              <w:top w:val="nil"/>
              <w:left w:val="nil"/>
              <w:bottom w:val="single" w:sz="4" w:color="E6EAF0" w:space="0"/>
              <w:right w:val="nil"/>
            </w:tcBorders>
          </w:tcPr>
          <w:p>
            <w:pPr>
              <w:spacing w:before="0" w:after="0"/>
            </w:pPr>
            <w:r>
              <w:rPr>
                <w:b w:val="0"/>
                <w:sz w:val="17"/>
              </w:rPr>
              <w:t>Net debt / EBITDA</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3.05x</w:t>
            </w:r>
          </w:p>
        </w:tc>
        <w:tc>
          <w:tcPr>
            <w:tcW w:type="dxa" w:w="1157"/>
            <w:tcBorders>
              <w:top w:val="nil"/>
              <w:left w:val="nil"/>
              <w:bottom w:val="single" w:sz="4" w:color="E6EAF0" w:space="0"/>
              <w:right w:val="nil"/>
            </w:tcBorders>
          </w:tcPr>
          <w:p>
            <w:pPr>
              <w:spacing w:before="0" w:after="0"/>
              <w:jc w:val="right"/>
            </w:pPr>
            <w:r>
              <w:rPr>
                <w:b w:val="0"/>
                <w:sz w:val="17"/>
              </w:rPr>
              <w:t>3.50x</w:t>
            </w:r>
          </w:p>
        </w:tc>
        <w:tc>
          <w:tcPr>
            <w:tcW w:type="dxa" w:w="1157"/>
            <w:tcBorders>
              <w:top w:val="nil"/>
              <w:left w:val="nil"/>
              <w:bottom w:val="single" w:sz="4" w:color="E6EAF0" w:space="0"/>
              <w:right w:val="nil"/>
            </w:tcBorders>
          </w:tcPr>
          <w:p>
            <w:pPr>
              <w:spacing w:before="0" w:after="0"/>
              <w:jc w:val="right"/>
            </w:pPr>
            <w:r>
              <w:rPr>
                <w:b w:val="0"/>
                <w:sz w:val="17"/>
              </w:rPr>
              <w:t>2.99x</w:t>
            </w:r>
          </w:p>
        </w:tc>
        <w:tc>
          <w:tcPr>
            <w:tcW w:type="dxa" w:w="1157"/>
            <w:tcBorders>
              <w:top w:val="nil"/>
              <w:left w:val="nil"/>
              <w:bottom w:val="single" w:sz="4" w:color="E6EAF0" w:space="0"/>
              <w:right w:val="nil"/>
            </w:tcBorders>
            <w:shd w:val="clear" w:color="auto" w:fill="FDF1D8"/>
          </w:tcPr>
          <w:p>
            <w:pPr>
              <w:spacing w:before="0" w:after="0"/>
              <w:jc w:val="right"/>
            </w:pPr>
            <w:r>
              <w:rPr>
                <w:b/>
                <w:sz w:val="17"/>
              </w:rPr>
              <w:t>3.49x</w:t>
            </w:r>
          </w:p>
        </w:tc>
        <w:tc>
          <w:tcPr>
            <w:tcW w:type="dxa" w:w="2148"/>
            <w:tcBorders>
              <w:top w:val="nil"/>
              <w:left w:val="nil"/>
              <w:bottom w:val="single" w:sz="4" w:color="E6EAF0" w:space="0"/>
              <w:right w:val="nil"/>
            </w:tcBorders>
          </w:tcPr>
          <w:p>
            <w:pPr>
              <w:spacing w:before="0" w:after="0"/>
              <w:jc w:val="right"/>
            </w:pPr>
            <w:r>
              <w:rPr>
                <w:b/>
                <w:color w:val="B42318"/>
                <w:sz w:val="17"/>
              </w:rPr>
              <w:t>▲ 0.5x vs 6M2025</w:t>
            </w:r>
          </w:p>
        </w:tc>
      </w:tr>
      <w:tr>
        <w:tc>
          <w:tcPr>
            <w:tcW w:type="dxa" w:w="2864"/>
            <w:tcBorders>
              <w:top w:val="nil"/>
              <w:left w:val="nil"/>
              <w:bottom w:val="single" w:sz="4" w:color="E6EAF0" w:space="0"/>
              <w:right w:val="nil"/>
            </w:tcBorders>
          </w:tcPr>
          <w:p>
            <w:pPr>
              <w:spacing w:before="0" w:after="0"/>
            </w:pPr>
            <w:r>
              <w:rPr>
                <w:b w:val="0"/>
                <w:sz w:val="17"/>
              </w:rPr>
              <w:t>FFO / net debt</w:t>
            </w:r>
            <w:hyperlink r:id="rId23">
              <w:r>
                <w:rPr>
                  <w:color w:val="2A78D6"/>
                  <w:vertAlign w:val="superscript"/>
                  <w:sz w:val="14"/>
                </w:rPr>
                <w:t xml:space="preserve">11</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26">
              <w:r>
                <w:rPr>
                  <w:color w:val="2A78D6"/>
                  <w:vertAlign w:val="superscript"/>
                  <w:sz w:val="14"/>
                </w:rPr>
                <w:t xml:space="preserve">14</w:t>
              </w:r>
            </w:hyperlink>
          </w:p>
        </w:tc>
        <w:tc>
          <w:tcPr>
            <w:tcW w:type="dxa" w:w="1157"/>
            <w:tcBorders>
              <w:top w:val="nil"/>
              <w:left w:val="nil"/>
              <w:bottom w:val="single" w:sz="4" w:color="E6EAF0" w:space="0"/>
              <w:right w:val="nil"/>
            </w:tcBorders>
          </w:tcPr>
          <w:p>
            <w:pPr>
              <w:spacing w:before="0" w:after="0"/>
              <w:jc w:val="right"/>
            </w:pPr>
            <w:r>
              <w:rPr>
                <w:b w:val="0"/>
                <w:sz w:val="17"/>
              </w:rPr>
              <w:t>29.7%</w:t>
            </w:r>
          </w:p>
        </w:tc>
        <w:tc>
          <w:tcPr>
            <w:tcW w:type="dxa" w:w="1157"/>
            <w:tcBorders>
              <w:top w:val="nil"/>
              <w:left w:val="nil"/>
              <w:bottom w:val="single" w:sz="4" w:color="E6EAF0" w:space="0"/>
              <w:right w:val="nil"/>
            </w:tcBorders>
          </w:tcPr>
          <w:p>
            <w:pPr>
              <w:spacing w:before="0" w:after="0"/>
              <w:jc w:val="right"/>
            </w:pPr>
            <w:r>
              <w:rPr>
                <w:b w:val="0"/>
                <w:sz w:val="17"/>
              </w:rPr>
              <w:t>21.0%</w:t>
            </w:r>
          </w:p>
        </w:tc>
        <w:tc>
          <w:tcPr>
            <w:tcW w:type="dxa" w:w="1157"/>
            <w:tcBorders>
              <w:top w:val="nil"/>
              <w:left w:val="nil"/>
              <w:bottom w:val="single" w:sz="4" w:color="E6EAF0" w:space="0"/>
              <w:right w:val="nil"/>
            </w:tcBorders>
          </w:tcPr>
          <w:p>
            <w:pPr>
              <w:spacing w:before="0" w:after="0"/>
              <w:jc w:val="right"/>
            </w:pPr>
            <w:r>
              <w:rPr>
                <w:b w:val="0"/>
                <w:sz w:val="17"/>
              </w:rPr>
              <w:t>29.8%</w:t>
            </w:r>
          </w:p>
        </w:tc>
        <w:tc>
          <w:tcPr>
            <w:tcW w:type="dxa" w:w="1157"/>
            <w:tcBorders>
              <w:top w:val="nil"/>
              <w:left w:val="nil"/>
              <w:bottom w:val="single" w:sz="4" w:color="E6EAF0" w:space="0"/>
              <w:right w:val="nil"/>
            </w:tcBorders>
            <w:shd w:val="clear" w:color="auto" w:fill="FDF1D8"/>
          </w:tcPr>
          <w:p>
            <w:pPr>
              <w:spacing w:before="0" w:after="0"/>
              <w:jc w:val="right"/>
            </w:pPr>
            <w:r>
              <w:rPr>
                <w:b/>
                <w:sz w:val="17"/>
              </w:rPr>
              <w:t>22.2%</w:t>
            </w:r>
          </w:p>
        </w:tc>
        <w:tc>
          <w:tcPr>
            <w:tcW w:type="dxa" w:w="2148"/>
            <w:tcBorders>
              <w:top w:val="nil"/>
              <w:left w:val="nil"/>
              <w:bottom w:val="single" w:sz="4" w:color="E6EAF0" w:space="0"/>
              <w:right w:val="nil"/>
            </w:tcBorders>
          </w:tcPr>
          <w:p>
            <w:pPr>
              <w:spacing w:before="0" w:after="0"/>
              <w:jc w:val="right"/>
            </w:pPr>
            <w:r>
              <w:rPr>
                <w:b/>
                <w:color w:val="B42318"/>
                <w:sz w:val="17"/>
              </w:rPr>
              <w:t>▼ 7.6 p. p. vs 6M2025</w:t>
            </w:r>
          </w:p>
        </w:tc>
      </w:tr>
      <w:tr>
        <w:tc>
          <w:tcPr>
            <w:tcW w:type="dxa" w:w="2864"/>
            <w:tcBorders>
              <w:top w:val="nil"/>
              <w:left w:val="nil"/>
              <w:bottom w:val="single" w:sz="4" w:color="E6EAF0" w:space="0"/>
              <w:right w:val="nil"/>
            </w:tcBorders>
          </w:tcPr>
          <w:p>
            <w:pPr>
              <w:spacing w:before="0" w:after="0"/>
            </w:pPr>
            <w:r>
              <w:rPr>
                <w:b w:val="0"/>
                <w:sz w:val="17"/>
              </w:rPr>
              <w:t>Adjusted ROCE</w:t>
            </w:r>
            <w:hyperlink r:id="rId23">
              <w:r>
                <w:rPr>
                  <w:color w:val="2A78D6"/>
                  <w:vertAlign w:val="superscript"/>
                  <w:sz w:val="14"/>
                </w:rPr>
                <w:t xml:space="preserve">11</w:t>
              </w:r>
            </w:hyperlink>
            <w:r>
              <w:rPr>
                <w:color w:val="2A78D6"/>
                <w:vertAlign w:val="superscript"/>
              </w:rPr>
              <w:t>,</w:t>
            </w:r>
            <w:hyperlink r:id="rId27">
              <w:r>
                <w:rPr>
                  <w:color w:val="2A78D6"/>
                  <w:vertAlign w:val="superscript"/>
                  <w:sz w:val="14"/>
                </w:rPr>
                <w:t xml:space="preserve">15</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9.0%</w:t>
            </w:r>
          </w:p>
        </w:tc>
        <w:tc>
          <w:tcPr>
            <w:tcW w:type="dxa" w:w="1157"/>
            <w:tcBorders>
              <w:top w:val="nil"/>
              <w:left w:val="nil"/>
              <w:bottom w:val="single" w:sz="4" w:color="E6EAF0" w:space="0"/>
              <w:right w:val="nil"/>
            </w:tcBorders>
          </w:tcPr>
          <w:p>
            <w:pPr>
              <w:spacing w:before="0" w:after="0"/>
              <w:jc w:val="right"/>
            </w:pPr>
            <w:r>
              <w:rPr>
                <w:b w:val="0"/>
                <w:sz w:val="17"/>
              </w:rPr>
              <w:t>7.5%</w:t>
            </w:r>
          </w:p>
        </w:tc>
        <w:tc>
          <w:tcPr>
            <w:tcW w:type="dxa" w:w="1157"/>
            <w:tcBorders>
              <w:top w:val="nil"/>
              <w:left w:val="nil"/>
              <w:bottom w:val="single" w:sz="4" w:color="E6EAF0" w:space="0"/>
              <w:right w:val="nil"/>
            </w:tcBorders>
          </w:tcPr>
          <w:p>
            <w:pPr>
              <w:spacing w:before="0" w:after="0"/>
              <w:jc w:val="right"/>
            </w:pPr>
            <w:r>
              <w:rPr>
                <w:b w:val="0"/>
                <w:sz w:val="17"/>
              </w:rPr>
              <w:t>8.6%</w:t>
            </w:r>
          </w:p>
        </w:tc>
        <w:tc>
          <w:tcPr>
            <w:tcW w:type="dxa" w:w="1157"/>
            <w:tcBorders>
              <w:top w:val="nil"/>
              <w:left w:val="nil"/>
              <w:bottom w:val="single" w:sz="4" w:color="E6EAF0" w:space="0"/>
              <w:right w:val="nil"/>
            </w:tcBorders>
            <w:shd w:val="clear" w:color="auto" w:fill="FDF1D8"/>
          </w:tcPr>
          <w:p>
            <w:pPr>
              <w:spacing w:before="0" w:after="0"/>
              <w:jc w:val="right"/>
            </w:pPr>
            <w:r>
              <w:rPr>
                <w:b/>
                <w:sz w:val="17"/>
              </w:rPr>
              <w:t>6.7%</w:t>
            </w:r>
          </w:p>
        </w:tc>
        <w:tc>
          <w:tcPr>
            <w:tcW w:type="dxa" w:w="2148"/>
            <w:tcBorders>
              <w:top w:val="nil"/>
              <w:left w:val="nil"/>
              <w:bottom w:val="single" w:sz="4" w:color="E6EAF0" w:space="0"/>
              <w:right w:val="nil"/>
            </w:tcBorders>
          </w:tcPr>
          <w:p>
            <w:pPr>
              <w:spacing w:before="0" w:after="0"/>
              <w:jc w:val="right"/>
            </w:pPr>
            <w:r>
              <w:rPr>
                <w:b/>
                <w:color w:val="B42318"/>
                <w:sz w:val="17"/>
              </w:rPr>
              <w:t>▼ 1.9 p. p. vs 6M2025</w:t>
            </w:r>
          </w:p>
        </w:tc>
      </w:tr>
      <w:tr>
        <w:tc>
          <w:tcPr>
            <w:tcW w:type="dxa" w:w="2864"/>
            <w:tcBorders>
              <w:top w:val="nil"/>
              <w:left w:val="nil"/>
              <w:bottom w:val="single" w:sz="4" w:color="E6EAF0" w:space="0"/>
              <w:right w:val="nil"/>
            </w:tcBorders>
          </w:tcPr>
          <w:p>
            <w:pPr>
              <w:spacing w:before="0" w:after="0"/>
            </w:pPr>
            <w:r>
              <w:rPr>
                <w:b w:val="0"/>
                <w:sz w:val="17"/>
              </w:rPr>
              <w:t>Equity,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2,436.8</w:t>
            </w:r>
          </w:p>
        </w:tc>
        <w:tc>
          <w:tcPr>
            <w:tcW w:type="dxa" w:w="1157"/>
            <w:tcBorders>
              <w:top w:val="nil"/>
              <w:left w:val="nil"/>
              <w:bottom w:val="single" w:sz="4" w:color="E6EAF0" w:space="0"/>
              <w:right w:val="nil"/>
            </w:tcBorders>
          </w:tcPr>
          <w:p>
            <w:pPr>
              <w:spacing w:before="0" w:after="0"/>
              <w:jc w:val="right"/>
            </w:pPr>
            <w:r>
              <w:rPr>
                <w:b w:val="0"/>
                <w:sz w:val="17"/>
              </w:rPr>
              <w:t>2,494.7</w:t>
            </w:r>
          </w:p>
        </w:tc>
        <w:tc>
          <w:tcPr>
            <w:tcW w:type="dxa" w:w="1157"/>
            <w:tcBorders>
              <w:top w:val="nil"/>
              <w:left w:val="nil"/>
              <w:bottom w:val="single" w:sz="4" w:color="E6EAF0" w:space="0"/>
              <w:right w:val="nil"/>
            </w:tcBorders>
          </w:tcPr>
          <w:p>
            <w:pPr>
              <w:spacing w:before="0" w:after="0"/>
              <w:jc w:val="right"/>
            </w:pPr>
            <w:r>
              <w:rPr>
                <w:b w:val="0"/>
                <w:sz w:val="17"/>
              </w:rPr>
              <w:t>2,492.0</w:t>
            </w:r>
          </w:p>
        </w:tc>
        <w:tc>
          <w:tcPr>
            <w:tcW w:type="dxa" w:w="1157"/>
            <w:tcBorders>
              <w:top w:val="nil"/>
              <w:left w:val="nil"/>
              <w:bottom w:val="single" w:sz="4" w:color="E6EAF0" w:space="0"/>
              <w:right w:val="nil"/>
            </w:tcBorders>
          </w:tcPr>
          <w:p>
            <w:pPr>
              <w:spacing w:before="0" w:after="0"/>
              <w:jc w:val="right"/>
            </w:pPr>
            <w:r>
              <w:rPr>
                <w:b w:val="0"/>
                <w:sz w:val="17"/>
              </w:rPr>
              <w:t>2,636.1*</w:t>
            </w:r>
          </w:p>
        </w:tc>
        <w:tc>
          <w:tcPr>
            <w:tcW w:type="dxa" w:w="2148"/>
            <w:tcBorders>
              <w:top w:val="nil"/>
              <w:left w:val="nil"/>
              <w:bottom w:val="single" w:sz="4" w:color="E6EAF0" w:space="0"/>
              <w:right w:val="nil"/>
            </w:tcBorders>
          </w:tcPr>
          <w:p>
            <w:pPr>
              <w:spacing w:before="0" w:after="0"/>
              <w:jc w:val="right"/>
            </w:pPr>
            <w:r>
              <w:rPr>
                <w:b/>
                <w:color w:val="1B7F3B"/>
                <w:sz w:val="17"/>
              </w:rPr>
              <w:t>▲ 5.8 % vs 6M2025</w:t>
            </w:r>
          </w:p>
        </w:tc>
      </w:tr>
      <w:tr>
        <w:tc>
          <w:tcPr>
            <w:tcW w:type="dxa" w:w="2864"/>
            <w:tcBorders>
              <w:top w:val="nil"/>
              <w:left w:val="nil"/>
              <w:bottom w:val="single" w:sz="4" w:color="E6EAF0" w:space="0"/>
              <w:right w:val="nil"/>
            </w:tcBorders>
          </w:tcPr>
          <w:p>
            <w:pPr>
              <w:spacing w:before="0" w:after="0"/>
            </w:pPr>
            <w:r>
              <w:rPr>
                <w:b w:val="0"/>
                <w:sz w:val="17"/>
              </w:rPr>
              <w:t>Total assets, EUR m</w:t>
            </w:r>
            <w:hyperlink r:id="rId26">
              <w:r>
                <w:rPr>
                  <w:color w:val="2A78D6"/>
                  <w:vertAlign w:val="superscript"/>
                  <w:sz w:val="14"/>
                </w:rPr>
                <w:t xml:space="preserve">14</w:t>
              </w:r>
            </w:hyperlink>
            <w:r>
              <w:rPr>
                <w:color w:val="2A78D6"/>
                <w:vertAlign w:val="superscript"/>
              </w:rPr>
              <w:t>,</w:t>
            </w:r>
            <w:hyperlink r:id="rId28">
              <w:r>
                <w:rPr>
                  <w:color w:val="2A78D6"/>
                  <w:vertAlign w:val="superscript"/>
                  <w:sz w:val="14"/>
                </w:rPr>
                <w:t xml:space="preserve">16</w:t>
              </w:r>
            </w:hyperlink>
          </w:p>
        </w:tc>
        <w:tc>
          <w:tcPr>
            <w:tcW w:type="dxa" w:w="1157"/>
            <w:tcBorders>
              <w:top w:val="nil"/>
              <w:left w:val="nil"/>
              <w:bottom w:val="single" w:sz="4" w:color="E6EAF0" w:space="0"/>
              <w:right w:val="nil"/>
            </w:tcBorders>
          </w:tcPr>
          <w:p>
            <w:pPr>
              <w:spacing w:before="0" w:after="0"/>
              <w:jc w:val="right"/>
            </w:pPr>
            <w:r>
              <w:rPr>
                <w:b w:val="0"/>
                <w:sz w:val="17"/>
              </w:rPr>
              <w:t>5,706.0</w:t>
            </w:r>
          </w:p>
        </w:tc>
        <w:tc>
          <w:tcPr>
            <w:tcW w:type="dxa" w:w="1157"/>
            <w:tcBorders>
              <w:top w:val="nil"/>
              <w:left w:val="nil"/>
              <w:bottom w:val="single" w:sz="4" w:color="E6EAF0" w:space="0"/>
              <w:right w:val="nil"/>
            </w:tcBorders>
          </w:tcPr>
          <w:p>
            <w:pPr>
              <w:spacing w:before="0" w:after="0"/>
              <w:jc w:val="right"/>
            </w:pPr>
            <w:r>
              <w:rPr>
                <w:b w:val="0"/>
                <w:sz w:val="17"/>
              </w:rPr>
              <w:t>6,278.9*</w:t>
            </w:r>
          </w:p>
        </w:tc>
        <w:tc>
          <w:tcPr>
            <w:tcW w:type="dxa" w:w="1157"/>
            <w:tcBorders>
              <w:top w:val="nil"/>
              <w:left w:val="nil"/>
              <w:bottom w:val="single" w:sz="4" w:color="E6EAF0" w:space="0"/>
              <w:right w:val="nil"/>
            </w:tcBorders>
          </w:tcPr>
          <w:p>
            <w:pPr>
              <w:spacing w:before="0" w:after="0"/>
              <w:jc w:val="right"/>
            </w:pPr>
            <w:r>
              <w:rPr>
                <w:b w:val="0"/>
                <w:sz w:val="17"/>
              </w:rPr>
              <w:t>5,897.3</w:t>
            </w:r>
          </w:p>
        </w:tc>
        <w:tc>
          <w:tcPr>
            <w:tcW w:type="dxa" w:w="1157"/>
            <w:tcBorders>
              <w:top w:val="nil"/>
              <w:left w:val="nil"/>
              <w:bottom w:val="single" w:sz="4" w:color="E6EAF0" w:space="0"/>
              <w:right w:val="nil"/>
            </w:tcBorders>
          </w:tcPr>
          <w:p>
            <w:pPr>
              <w:spacing w:before="0" w:after="0"/>
              <w:jc w:val="right"/>
            </w:pPr>
            <w:r>
              <w:rPr>
                <w:b w:val="0"/>
                <w:sz w:val="17"/>
              </w:rPr>
              <w:t>6,339.2*</w:t>
            </w:r>
          </w:p>
        </w:tc>
        <w:tc>
          <w:tcPr>
            <w:tcW w:type="dxa" w:w="2148"/>
            <w:tcBorders>
              <w:top w:val="nil"/>
              <w:left w:val="nil"/>
              <w:bottom w:val="single" w:sz="4" w:color="E6EAF0" w:space="0"/>
              <w:right w:val="nil"/>
            </w:tcBorders>
          </w:tcPr>
          <w:p>
            <w:pPr>
              <w:spacing w:before="0" w:after="0"/>
              <w:jc w:val="right"/>
            </w:pPr>
            <w:r>
              <w:rPr>
                <w:b w:val="0"/>
                <w:color w:val="5F6B7A"/>
                <w:sz w:val="17"/>
              </w:rPr>
              <w:t>▲ 7.5 % vs 6M2025</w:t>
            </w:r>
          </w:p>
        </w:tc>
      </w:tr>
      <w:tr>
        <w:tc>
          <w:tcPr>
            <w:tcW w:type="dxa" w:w="2864"/>
            <w:tcBorders>
              <w:top w:val="nil"/>
              <w:left w:val="nil"/>
              <w:bottom w:val="single" w:sz="4" w:color="E6EAF0" w:space="0"/>
              <w:right w:val="nil"/>
            </w:tcBorders>
          </w:tcPr>
          <w:p>
            <w:pPr>
              <w:spacing w:before="0" w:after="0"/>
            </w:pPr>
            <w:r>
              <w:rPr>
                <w:b w:val="0"/>
                <w:sz w:val="17"/>
              </w:rPr>
              <w:t>Dividend per share, EUR</w:t>
            </w:r>
            <w:hyperlink r:id="rId29">
              <w:r>
                <w:rPr>
                  <w:color w:val="2A78D6"/>
                  <w:vertAlign w:val="superscript"/>
                  <w:sz w:val="14"/>
                </w:rPr>
                <w:t xml:space="preserve">17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30">
              <w:r>
                <w:rPr>
                  <w:color w:val="2A78D6"/>
                  <w:vertAlign w:val="superscript"/>
                  <w:sz w:val="14"/>
                </w:rPr>
                <w:t xml:space="preserve">18</w:t>
              </w:r>
            </w:hyperlink>
          </w:p>
        </w:tc>
        <w:tc>
          <w:tcPr>
            <w:tcW w:type="dxa" w:w="1157"/>
            <w:tcBorders>
              <w:top w:val="nil"/>
              <w:left w:val="nil"/>
              <w:bottom w:val="single" w:sz="4" w:color="E6EAF0" w:space="0"/>
              <w:right w:val="nil"/>
            </w:tcBorders>
          </w:tcPr>
          <w:p>
            <w:pPr>
              <w:spacing w:before="0" w:after="0"/>
              <w:jc w:val="right"/>
            </w:pPr>
            <w:r>
              <w:rPr>
                <w:b w:val="0"/>
                <w:sz w:val="17"/>
              </w:rPr>
              <w:t>1.33</w:t>
            </w:r>
          </w:p>
        </w:tc>
        <w:tc>
          <w:tcPr>
            <w:tcW w:type="dxa" w:w="1157"/>
            <w:tcBorders>
              <w:top w:val="nil"/>
              <w:left w:val="nil"/>
              <w:bottom w:val="single" w:sz="4" w:color="E6EAF0" w:space="0"/>
              <w:right w:val="nil"/>
            </w:tcBorders>
          </w:tcPr>
          <w:p>
            <w:pPr>
              <w:spacing w:before="0" w:after="0"/>
              <w:jc w:val="right"/>
            </w:pPr>
            <w:r>
              <w:rPr>
                <w:b w:val="0"/>
                <w:sz w:val="17"/>
              </w:rPr>
              <w:t>1.366</w:t>
            </w:r>
          </w:p>
        </w:tc>
        <w:tc>
          <w:tcPr>
            <w:tcW w:type="dxa" w:w="1157"/>
            <w:tcBorders>
              <w:top w:val="nil"/>
              <w:left w:val="nil"/>
              <w:bottom w:val="single" w:sz="4" w:color="E6EAF0" w:space="0"/>
              <w:right w:val="nil"/>
            </w:tcBorders>
          </w:tcPr>
          <w:p>
            <w:pPr>
              <w:spacing w:before="0" w:after="0"/>
              <w:jc w:val="right"/>
            </w:pPr>
            <w:r>
              <w:rPr>
                <w:b w:val="0"/>
                <w:sz w:val="17"/>
              </w:rPr>
              <w:t>0.683</w:t>
            </w:r>
          </w:p>
        </w:tc>
        <w:tc>
          <w:tcPr>
            <w:tcW w:type="dxa" w:w="1157"/>
            <w:tcBorders>
              <w:top w:val="nil"/>
              <w:left w:val="nil"/>
              <w:bottom w:val="single" w:sz="4" w:color="E6EAF0" w:space="0"/>
              <w:right w:val="nil"/>
            </w:tcBorders>
          </w:tcPr>
          <w:p>
            <w:pPr>
              <w:spacing w:before="0" w:after="0"/>
              <w:jc w:val="right"/>
            </w:pPr>
            <w:r>
              <w:rPr>
                <w:b w:val="0"/>
                <w:sz w:val="17"/>
              </w:rPr>
              <w:t>0.704</w:t>
            </w:r>
          </w:p>
        </w:tc>
        <w:tc>
          <w:tcPr>
            <w:tcW w:type="dxa" w:w="2148"/>
            <w:tcBorders>
              <w:top w:val="nil"/>
              <w:left w:val="nil"/>
              <w:bottom w:val="single" w:sz="4" w:color="E6EAF0" w:space="0"/>
              <w:right w:val="nil"/>
            </w:tcBorders>
          </w:tcPr>
          <w:p>
            <w:pPr>
              <w:spacing w:before="0" w:after="0"/>
              <w:jc w:val="right"/>
            </w:pPr>
            <w:r>
              <w:rPr>
                <w:b/>
                <w:color w:val="1B7F3B"/>
                <w:sz w:val="17"/>
              </w:rPr>
              <w:t>▲ 3.1 % vs 6M2025</w:t>
            </w:r>
          </w:p>
        </w:tc>
      </w:tr>
      <w:tr>
        <w:tc>
          <w:tcPr>
            <w:tcW w:type="dxa" w:w="2864"/>
            <w:tcBorders>
              <w:top w:val="nil"/>
              <w:left w:val="nil"/>
              <w:bottom w:val="single" w:sz="4" w:color="E6EAF0" w:space="0"/>
              <w:right w:val="nil"/>
            </w:tcBorders>
          </w:tcPr>
          <w:p>
            <w:pPr>
              <w:spacing w:before="0" w:after="0"/>
            </w:pPr>
            <w:r>
              <w:rPr>
                <w:b w:val="0"/>
                <w:sz w:val="17"/>
              </w:rPr>
              <w:t>Installed green capacity, GW</w:t>
            </w:r>
            <w:hyperlink r:id="rId24">
              <w:r>
                <w:rPr>
                  <w:color w:val="2A78D6"/>
                  <w:vertAlign w:val="superscript"/>
                  <w:sz w:val="14"/>
                </w:rPr>
                <w:t xml:space="preserve">12</w:t>
              </w:r>
            </w:hyperlink>
            <w:r>
              <w:rPr>
                <w:color w:val="2A78D6"/>
                <w:vertAlign w:val="superscript"/>
              </w:rPr>
              <w:t>,</w:t>
            </w:r>
            <w:hyperlink r:id="rId31">
              <w:r>
                <w:rPr>
                  <w:color w:val="2A78D6"/>
                  <w:vertAlign w:val="superscript"/>
                  <w:sz w:val="14"/>
                </w:rPr>
                <w:t xml:space="preserve">19</w:t>
              </w:r>
            </w:hyperlink>
            <w:r>
              <w:rPr>
                <w:color w:val="2A78D6"/>
                <w:vertAlign w:val="superscript"/>
              </w:rPr>
              <w:t>,</w:t>
            </w:r>
            <w:hyperlink r:id="rId21">
              <w:r>
                <w:rPr>
                  <w:color w:val="2A78D6"/>
                  <w:vertAlign w:val="superscript"/>
                  <w:sz w:val="14"/>
                </w:rPr>
                <w:t xml:space="preserve">9</w:t>
              </w:r>
            </w:hyperlink>
          </w:p>
        </w:tc>
        <w:tc>
          <w:tcPr>
            <w:tcW w:type="dxa" w:w="1157"/>
            <w:tcBorders>
              <w:top w:val="nil"/>
              <w:left w:val="nil"/>
              <w:bottom w:val="single" w:sz="4" w:color="E6EAF0" w:space="0"/>
              <w:right w:val="nil"/>
            </w:tcBorders>
          </w:tcPr>
          <w:p>
            <w:pPr>
              <w:spacing w:before="0" w:after="0"/>
              <w:jc w:val="right"/>
            </w:pPr>
            <w:r>
              <w:rPr>
                <w:b w:val="0"/>
                <w:sz w:val="17"/>
              </w:rPr>
              <w:t>1.4</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1157"/>
            <w:tcBorders>
              <w:top w:val="nil"/>
              <w:left w:val="nil"/>
              <w:bottom w:val="single" w:sz="4" w:color="E6EAF0" w:space="0"/>
              <w:right w:val="nil"/>
            </w:tcBorders>
          </w:tcPr>
          <w:p>
            <w:pPr>
              <w:spacing w:before="0" w:after="0"/>
              <w:jc w:val="right"/>
            </w:pPr>
            <w:r>
              <w:rPr>
                <w:b w:val="0"/>
                <w:sz w:val="17"/>
              </w:rPr>
              <w:t>1.75</w:t>
            </w:r>
          </w:p>
        </w:tc>
        <w:tc>
          <w:tcPr>
            <w:tcW w:type="dxa" w:w="1157"/>
            <w:tcBorders>
              <w:top w:val="nil"/>
              <w:left w:val="nil"/>
              <w:bottom w:val="single" w:sz="4" w:color="E6EAF0" w:space="0"/>
              <w:right w:val="nil"/>
            </w:tcBorders>
          </w:tcPr>
          <w:p>
            <w:pPr>
              <w:spacing w:before="0" w:after="0"/>
              <w:jc w:val="right"/>
            </w:pPr>
            <w:r>
              <w:rPr>
                <w:b w:val="0"/>
                <w:sz w:val="17"/>
              </w:rPr>
              <w:t>2.1</w:t>
            </w:r>
          </w:p>
        </w:tc>
        <w:tc>
          <w:tcPr>
            <w:tcW w:type="dxa" w:w="2148"/>
            <w:tcBorders>
              <w:top w:val="nil"/>
              <w:left w:val="nil"/>
              <w:bottom w:val="single" w:sz="4" w:color="E6EAF0" w:space="0"/>
              <w:right w:val="nil"/>
            </w:tcBorders>
          </w:tcPr>
          <w:p>
            <w:pPr>
              <w:spacing w:before="0" w:after="0"/>
              <w:jc w:val="right"/>
            </w:pPr>
            <w:r>
              <w:rPr>
                <w:b/>
                <w:color w:val="1B7F3B"/>
                <w:sz w:val="17"/>
              </w:rPr>
              <w:t>▲ 20.0 % vs 6M2025</w:t>
            </w:r>
          </w:p>
        </w:tc>
      </w:tr>
    </w:tbl>
    <w:p>
      <w:pPr>
        <w:spacing w:before="0" w:after="40"/>
      </w:pPr>
    </w:p>
    <w:p>
      <w:pPr>
        <w:spacing w:before="40" w:after="60"/>
      </w:pPr>
      <w:r>
        <w:rPr>
          <w:b w:val="0"/>
          <w:color w:val="667085"/>
          <w:sz w:val="16"/>
        </w:rPr>
        <w:t>Colours: green change – the metric is improving, red – worsening. Latest-period cell background: green – good level, amber – average, red – weak (internal benchmarks, config/metric_rules.yaml).</w:t>
      </w:r>
    </w:p>
    <w:p>
      <w:pPr>
        <w:spacing w:before="40" w:after="60"/>
      </w:pPr>
      <w:r>
        <w:rPr>
          <w:b w:val="0"/>
          <w:color w:val="667085"/>
          <w:sz w:val="16"/>
        </w:rPr>
        <w:t>* – taken from the report summary;  ᶜ – own calculation. Small numbers next to text link to the source (opens the document at the cited page).</w:t>
      </w:r>
    </w:p>
    <w:p>
      <w:r>
        <w:drawing>
          <wp:inline xmlns:a="http://schemas.openxmlformats.org/drawingml/2006/main" xmlns:pic="http://schemas.openxmlformats.org/drawingml/2006/picture">
            <wp:extent cx="6120000" cy="1713899"/>
            <wp:docPr id="5" name="Picture 5"/>
            <wp:cNvGraphicFramePr>
              <a:graphicFrameLocks noChangeAspect="1"/>
            </wp:cNvGraphicFramePr>
            <a:graphic>
              <a:graphicData uri="http://schemas.openxmlformats.org/drawingml/2006/picture">
                <pic:pic>
                  <pic:nvPicPr>
                    <pic:cNvPr id="0" name="ignitis_en.png"/>
                    <pic:cNvPicPr/>
                  </pic:nvPicPr>
                  <pic:blipFill>
                    <a:blip r:embed="rId32"/>
                    <a:stretch>
                      <a:fillRect/>
                    </a:stretch>
                  </pic:blipFill>
                  <pic:spPr>
                    <a:xfrm>
                      <a:off x="0" y="0"/>
                      <a:ext cx="6120000" cy="1713899"/>
                    </a:xfrm>
                    <a:prstGeom prst="rect"/>
                  </pic:spPr>
                </pic:pic>
              </a:graphicData>
            </a:graphic>
          </wp:inline>
        </w:drawing>
      </w:r>
    </w:p>
    <w:p>
      <w:pPr>
        <w:keepNext/>
        <w:pBdr>
          <w:bottom w:val="single" w:sz="8" w:color="12355B" w:space="4"/>
        </w:pBdr>
        <w:tabs>
          <w:tab w:pos="482" w:val="left"/>
        </w:tabs>
        <w:spacing w:before="360" w:after="160"/>
      </w:pPr>
      <w:r>
        <w:rPr>
          <w:b/>
          <w:color w:val="2A78D6"/>
          <w:sz w:val="18"/>
        </w:rPr>
        <w:t>03</w:t>
        <w:tab/>
      </w:r>
      <w:r>
        <w:rPr>
          <w:b/>
          <w:color w:val="12355B"/>
          <w:sz w:val="28"/>
        </w:rPr>
        <w:t>Business performance review</w:t>
      </w:r>
    </w:p>
    <w:p>
      <w:pPr>
        <w:tabs>
          <w:tab w:pos="255" w:val="left"/>
        </w:tabs>
        <w:spacing w:before="0" w:after="80"/>
        <w:ind w:left="255" w:hanging="255"/>
      </w:pPr>
      <w:r>
        <w:rPr>
          <w:b/>
          <w:color w:val="2A78D6"/>
          <w:sz w:val="20"/>
        </w:rPr>
        <w:t>▪</w:t>
        <w:tab/>
      </w:r>
      <w:r>
        <w:rPr>
          <w:b/>
        </w:rPr>
        <w:t>Networks:</w:t>
      </w:r>
      <w:r>
        <w:rPr>
          <w:b w:val="0"/>
        </w:rPr>
        <w:t xml:space="preserve"> investments EUR 208.3m (+26.1%), 68% of total; segment Adjusted EBITDA EUR 147.3m (132.6m)</w:t>
      </w:r>
      <w:hyperlink r:id="rId33">
        <w:r>
          <w:rPr>
            <w:color w:val="2A78D6"/>
            <w:vertAlign w:val="superscript"/>
            <w:sz w:val="17"/>
          </w:rPr>
          <w:t xml:space="preserve">20</w:t>
        </w:r>
      </w:hyperlink>
      <w:r>
        <w:rPr>
          <w:b w:val="0"/>
        </w:rPr>
        <w:t>.</w:t>
      </w:r>
    </w:p>
    <w:p>
      <w:pPr>
        <w:tabs>
          <w:tab w:pos="255" w:val="left"/>
        </w:tabs>
        <w:spacing w:before="0" w:after="80"/>
        <w:ind w:left="255" w:hanging="255"/>
      </w:pPr>
      <w:r>
        <w:rPr>
          <w:b/>
          <w:color w:val="2A78D6"/>
          <w:sz w:val="20"/>
        </w:rPr>
        <w:t>▪</w:t>
        <w:tab/>
      </w:r>
      <w:r>
        <w:rPr>
          <w:b/>
        </w:rPr>
        <w:t>Green Capacities:</w:t>
      </w:r>
      <w:r>
        <w:rPr>
          <w:b w:val="0"/>
        </w:rPr>
        <w:t xml:space="preserve"> 2.1 GW installed, 0.6 GW under construction (0.7 GW after the Tume BESS FID), 3.4 GW secured</w:t>
      </w:r>
      <w:hyperlink r:id="rId21">
        <w:r>
          <w:rPr>
            <w:color w:val="2A78D6"/>
            <w:vertAlign w:val="superscript"/>
            <w:sz w:val="17"/>
          </w:rPr>
          <w:t xml:space="preserve">21</w:t>
        </w:r>
      </w:hyperlink>
      <w:r>
        <w:rPr>
          <w:b w:val="0"/>
        </w:rPr>
        <w:t>. EBITDA declined due to weaker wind in Q1-Q2 and a lower hedge price (EUR 130 → 82/MWh)</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Reserve Capacities:</w:t>
      </w:r>
      <w:r>
        <w:rPr>
          <w:b w:val="0"/>
        </w:rPr>
        <w:t xml:space="preserve"> Adjusted EBITDA EUR 17.9m (29.1m, −38%); the balancing market is becoming more competitive</w:t>
      </w:r>
      <w:hyperlink r:id="rId18">
        <w:r>
          <w:rPr>
            <w:color w:val="2A78D6"/>
            <w:vertAlign w:val="superscript"/>
            <w:sz w:val="17"/>
          </w:rPr>
          <w:t xml:space="preserve">6</w:t>
        </w:r>
      </w:hyperlink>
      <w:r>
        <w:rPr>
          <w:color w:val="2A78D6"/>
          <w:vertAlign w:val="superscript"/>
        </w:rPr>
        <w:t>,</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Customers &amp; Solutions:</w:t>
      </w:r>
      <w:r>
        <w:rPr>
          <w:b w:val="0"/>
        </w:rPr>
        <w:t xml:space="preserve"> EBITDA EUR 0.2m (−27.7m); supported by higher volumes in a cold winter and one-off gas wholesale deals in Q1</w:t>
      </w:r>
      <w:hyperlink r:id="rId16">
        <w:r>
          <w:rPr>
            <w:color w:val="2A78D6"/>
            <w:vertAlign w:val="superscript"/>
            <w:sz w:val="17"/>
          </w:rPr>
          <w:t xml:space="preserve">4</w:t>
        </w:r>
      </w:hyperlink>
      <w:r>
        <w:rPr>
          <w:b w:val="0"/>
        </w:rPr>
        <w:t>. Prosumer impact c. EUR −30m EBITDA in 2025, expected somewhat higher in 2026, 60-70% to be covered by new legislation</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Projects and deals:</w:t>
      </w:r>
      <w:r>
        <w:rPr>
          <w:b w:val="0"/>
        </w:rPr>
        <w:t xml:space="preserve"> 49% of Vilnius CHP sold (Quaero Capital, March 2026); 399 MW / 798 MWh of BESS under construction; Kruonis PSHP unit 5 ~80% complete; data-centre partner search launched 2026-08-11</w:t>
      </w:r>
      <w:hyperlink r:id="rId35">
        <w:r>
          <w:rPr>
            <w:color w:val="2A78D6"/>
            <w:vertAlign w:val="superscript"/>
            <w:sz w:val="17"/>
          </w:rPr>
          <w:t xml:space="preserve">23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Safety:</w:t>
      </w:r>
      <w:r>
        <w:rPr>
          <w:b w:val="0"/>
        </w:rPr>
        <w:t xml:space="preserve"> a contractor employee was fatally injured in February 2026</w:t>
      </w:r>
      <w:hyperlink r:id="rId36">
        <w:r>
          <w:rPr>
            <w:color w:val="2A78D6"/>
            <w:vertAlign w:val="superscript"/>
            <w:sz w:val="17"/>
          </w:rPr>
          <w:t xml:space="preserve">24</w:t>
        </w:r>
      </w:hyperlink>
      <w:r>
        <w:rPr>
          <w:b w:val="0"/>
        </w:rPr>
        <w:t>.</w:t>
      </w:r>
    </w:p>
    <w:p>
      <w:pPr>
        <w:keepNext/>
        <w:pBdr>
          <w:bottom w:val="single" w:sz="8" w:color="12355B" w:space="4"/>
        </w:pBdr>
        <w:tabs>
          <w:tab w:pos="482" w:val="left"/>
        </w:tabs>
        <w:spacing w:before="360" w:after="160"/>
      </w:pPr>
      <w:r>
        <w:rPr>
          <w:b/>
          <w:color w:val="2A78D6"/>
          <w:sz w:val="18"/>
        </w:rPr>
        <w:t>04</w:t>
        <w:tab/>
      </w:r>
      <w:r>
        <w:rPr>
          <w:b/>
          <w:color w:val="12355B"/>
          <w:sz w:val="28"/>
        </w:rPr>
        <w:t>Financials</w:t>
      </w:r>
    </w:p>
    <w:p>
      <w:pPr>
        <w:tabs>
          <w:tab w:pos="255" w:val="left"/>
        </w:tabs>
        <w:spacing w:before="0" w:after="80"/>
        <w:ind w:left="255" w:hanging="255"/>
      </w:pPr>
      <w:r>
        <w:rPr>
          <w:b/>
          <w:color w:val="2A78D6"/>
          <w:sz w:val="20"/>
        </w:rPr>
        <w:t>▪</w:t>
        <w:tab/>
      </w:r>
      <w:r>
        <w:rPr>
          <w:b w:val="0"/>
        </w:rPr>
        <w:t>6M revenue EUR 1,497.5m (+15.4%), EBITDA EUR 303.5m (262.5m), net profit EUR 113.2m (111.4m)</w:t>
      </w:r>
      <w:hyperlink r:id="rId21">
        <w:r>
          <w:rPr>
            <w:color w:val="2A78D6"/>
            <w:vertAlign w:val="superscript"/>
            <w:sz w:val="17"/>
          </w:rPr>
          <w:t xml:space="preserve">25</w:t>
        </w:r>
      </w:hyperlink>
      <w:r>
        <w:rPr>
          <w:b w:val="0"/>
        </w:rPr>
        <w:t>.</w:t>
      </w:r>
    </w:p>
    <w:p>
      <w:pPr>
        <w:tabs>
          <w:tab w:pos="255" w:val="left"/>
        </w:tabs>
        <w:spacing w:before="0" w:after="80"/>
        <w:ind w:left="255" w:hanging="255"/>
      </w:pPr>
      <w:r>
        <w:rPr>
          <w:b/>
          <w:color w:val="2A78D6"/>
          <w:sz w:val="20"/>
        </w:rPr>
        <w:t>▪</w:t>
        <w:tab/>
      </w:r>
      <w:r>
        <w:rPr>
          <w:b w:val="0"/>
        </w:rPr>
        <w:t>FFO EUR 251.4m (+11.3%), free cash flow EUR 5.3m (64.0m); investments EUR 306.1m (343.2m, −10.8%)</w:t>
      </w:r>
      <w:hyperlink r:id="rId25">
        <w:r>
          <w:rPr>
            <w:color w:val="2A78D6"/>
            <w:vertAlign w:val="superscript"/>
            <w:sz w:val="17"/>
          </w:rPr>
          <w:t xml:space="preserve">26</w:t>
        </w:r>
      </w:hyperlink>
      <w:r>
        <w:rPr>
          <w:b w:val="0"/>
        </w:rPr>
        <w:t>.</w:t>
      </w:r>
    </w:p>
    <w:p>
      <w:pPr>
        <w:tabs>
          <w:tab w:pos="255" w:val="left"/>
        </w:tabs>
        <w:spacing w:before="0" w:after="80"/>
        <w:ind w:left="255" w:hanging="255"/>
      </w:pPr>
      <w:r>
        <w:rPr>
          <w:b/>
          <w:color w:val="2A78D6"/>
          <w:sz w:val="20"/>
        </w:rPr>
        <w:t>▪</w:t>
        <w:tab/>
      </w:r>
      <w:r>
        <w:rPr>
          <w:b/>
        </w:rPr>
        <w:t>FY2025:</w:t>
      </w:r>
      <w:r>
        <w:rPr>
          <w:b w:val="0"/>
        </w:rPr>
        <w:t xml:space="preserve"> Adjusted EBITDA EUR 546.1m (+3.4%), adjusted net profit EUR 225.7m (−18.7%), net debt up 18.6% to EUR 1,912.0m, FFO / net debt 21.0% (29.7% in 2024)</w:t>
      </w:r>
      <w:hyperlink r:id="rId23">
        <w:r>
          <w:rPr>
            <w:color w:val="2A78D6"/>
            <w:vertAlign w:val="superscript"/>
            <w:sz w:val="17"/>
          </w:rPr>
          <w:t xml:space="preserve">11</w:t>
        </w:r>
      </w:hyperlink>
      <w:r>
        <w:rPr>
          <w:color w:val="2A78D6"/>
          <w:vertAlign w:val="superscript"/>
        </w:rPr>
        <w:t>,</w:t>
      </w:r>
      <w:hyperlink r:id="rId24">
        <w:r>
          <w:rPr>
            <w:color w:val="2A78D6"/>
            <w:vertAlign w:val="superscript"/>
            <w:sz w:val="17"/>
          </w:rPr>
          <w:t xml:space="preserve">12</w:t>
        </w:r>
      </w:hyperlink>
      <w:r>
        <w:rPr>
          <w:b w:val="0"/>
        </w:rPr>
        <w:t>.</w:t>
      </w:r>
    </w:p>
    <w:p>
      <w:pPr>
        <w:keepNext/>
        <w:pBdr>
          <w:bottom w:val="single" w:sz="8" w:color="12355B" w:space="4"/>
        </w:pBdr>
        <w:tabs>
          <w:tab w:pos="482" w:val="left"/>
        </w:tabs>
        <w:spacing w:before="360" w:after="160"/>
      </w:pPr>
      <w:r>
        <w:rPr>
          <w:b/>
          <w:color w:val="2A78D6"/>
          <w:sz w:val="18"/>
        </w:rPr>
        <w:t>05</w:t>
        <w:tab/>
      </w:r>
      <w:r>
        <w:rPr>
          <w:b/>
          <w:color w:val="12355B"/>
          <w:sz w:val="28"/>
        </w:rPr>
        <w:t>Past plans vs outcomes</w:t>
      </w:r>
    </w:p>
    <w:tbl>
      <w:tblPr>
        <w:tblW w:w="9638"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2577"/>
        <w:gridCol w:w="2577"/>
        <w:gridCol w:w="3138"/>
        <w:gridCol w:w="1344"/>
      </w:tblGrid>
      <w:tr>
        <w:tc>
          <w:tcPr>
            <w:tcW w:type="dxa" w:w="2578"/>
            <w:tcBorders>
              <w:top w:val="nil"/>
              <w:left w:val="nil"/>
              <w:bottom w:val="single" w:sz="8" w:color="12355B" w:space="0"/>
              <w:right w:val="nil"/>
            </w:tcBorders>
          </w:tcPr>
          <w:p>
            <w:pPr>
              <w:spacing w:before="0" w:after="0"/>
            </w:pPr>
            <w:r>
              <w:rPr>
                <w:b/>
                <w:caps/>
                <w:color w:val="667085"/>
                <w:sz w:val="14"/>
              </w:rPr>
              <w:t>Plan / target</w:t>
            </w:r>
          </w:p>
        </w:tc>
        <w:tc>
          <w:tcPr>
            <w:tcW w:type="dxa" w:w="2578"/>
            <w:tcBorders>
              <w:top w:val="nil"/>
              <w:left w:val="nil"/>
              <w:bottom w:val="single" w:sz="8" w:color="12355B" w:space="0"/>
              <w:right w:val="nil"/>
            </w:tcBorders>
          </w:tcPr>
          <w:p>
            <w:pPr>
              <w:spacing w:before="0" w:after="0"/>
            </w:pPr>
            <w:r>
              <w:rPr>
                <w:b/>
                <w:caps/>
                <w:color w:val="667085"/>
                <w:sz w:val="14"/>
              </w:rPr>
              <w:t>Outcome</w:t>
            </w:r>
          </w:p>
        </w:tc>
        <w:tc>
          <w:tcPr>
            <w:tcW w:type="dxa" w:w="3138"/>
            <w:tcBorders>
              <w:top w:val="nil"/>
              <w:left w:val="nil"/>
              <w:bottom w:val="single" w:sz="8" w:color="12355B" w:space="0"/>
              <w:right w:val="nil"/>
            </w:tcBorders>
          </w:tcPr>
          <w:p>
            <w:pPr>
              <w:spacing w:before="0" w:after="0"/>
            </w:pPr>
            <w:r>
              <w:rPr>
                <w:b/>
                <w:caps/>
                <w:color w:val="667085"/>
                <w:sz w:val="14"/>
              </w:rPr>
              <w:t>What changed and why</w:t>
            </w:r>
          </w:p>
        </w:tc>
        <w:tc>
          <w:tcPr>
            <w:tcW w:type="dxa" w:w="1345"/>
            <w:tcBorders>
              <w:top w:val="nil"/>
              <w:left w:val="nil"/>
              <w:bottom w:val="single" w:sz="8" w:color="12355B" w:space="0"/>
              <w:right w:val="nil"/>
            </w:tcBorders>
          </w:tcPr>
          <w:p>
            <w:pPr>
              <w:spacing w:before="0" w:after="0"/>
            </w:pPr>
            <w:r>
              <w:rPr>
                <w:b/>
                <w:caps/>
                <w:color w:val="667085"/>
                <w:sz w:val="14"/>
              </w:rPr>
              <w:t>Status</w:t>
            </w:r>
          </w:p>
        </w:tc>
      </w:tr>
      <w:tr>
        <w:tc>
          <w:tcPr>
            <w:tcW w:type="dxa" w:w="2578"/>
            <w:tcBorders>
              <w:top w:val="nil"/>
              <w:left w:val="nil"/>
              <w:bottom w:val="single" w:sz="4" w:color="E6EAF0" w:space="0"/>
              <w:right w:val="nil"/>
            </w:tcBorders>
          </w:tcPr>
          <w:p>
            <w:pPr>
              <w:spacing w:before="0" w:after="0"/>
            </w:pPr>
            <w:r>
              <w:rPr>
                <w:b w:val="0"/>
                <w:sz w:val="17"/>
              </w:rPr>
              <w:t>2026 Adjusted EBITDA EUR 550-600m (set 2026-02-25)</w:t>
            </w:r>
          </w:p>
        </w:tc>
        <w:tc>
          <w:tcPr>
            <w:tcW w:type="dxa" w:w="2578"/>
            <w:tcBorders>
              <w:top w:val="nil"/>
              <w:left w:val="nil"/>
              <w:bottom w:val="single" w:sz="4" w:color="E6EAF0" w:space="0"/>
              <w:right w:val="nil"/>
            </w:tcBorders>
          </w:tcPr>
          <w:p>
            <w:pPr>
              <w:spacing w:before="0" w:after="0"/>
            </w:pPr>
            <w:r>
              <w:rPr>
                <w:b w:val="0"/>
                <w:sz w:val="17"/>
              </w:rPr>
              <w:t>6M: EUR 306.6m; guidance reiterated 2026-08-12</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On track: 6M covers 51-56% of the range. Networks and Customers &amp; Solutions grew; Green Capacities fell on weaker wind and a lower hedge price</w:t>
            </w:r>
            <w:hyperlink r:id="rId18">
              <w:r>
                <w:rPr>
                  <w:color w:val="2A78D6"/>
                  <w:vertAlign w:val="superscript"/>
                  <w:sz w:val="14"/>
                </w:rPr>
                <w:t xml:space="preserve">6</w:t>
              </w:r>
            </w:hyperlink>
            <w:r>
              <w:rPr>
                <w:color w:val="2A78D6"/>
                <w:vertAlign w:val="superscript"/>
              </w:rPr>
              <w:t>,</w:t>
            </w:r>
            <w:hyperlink r:id="rId34">
              <w:r>
                <w:rPr>
                  <w:color w:val="2A78D6"/>
                  <w:vertAlign w:val="superscript"/>
                  <w:sz w:val="14"/>
                </w:rPr>
                <w:t xml:space="preserve">22</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2026 investments EUR 590-690m</w:t>
            </w:r>
          </w:p>
        </w:tc>
        <w:tc>
          <w:tcPr>
            <w:tcW w:type="dxa" w:w="2578"/>
            <w:tcBorders>
              <w:top w:val="nil"/>
              <w:left w:val="nil"/>
              <w:bottom w:val="single" w:sz="4" w:color="E6EAF0" w:space="0"/>
              <w:right w:val="nil"/>
            </w:tcBorders>
          </w:tcPr>
          <w:p>
            <w:pPr>
              <w:spacing w:before="0" w:after="0"/>
            </w:pPr>
            <w:r>
              <w:rPr>
                <w:b w:val="0"/>
                <w:sz w:val="17"/>
              </w:rPr>
              <w:t>6M: EUR 306.1m (44-52% of the range)</w:t>
            </w:r>
            <w:hyperlink r:id="rId24">
              <w:r>
                <w:rPr>
                  <w:color w:val="2A78D6"/>
                  <w:vertAlign w:val="superscript"/>
                  <w:sz w:val="14"/>
                </w:rPr>
                <w:t xml:space="preserve">12</w:t>
              </w:r>
            </w:hyperlink>
            <w:r>
              <w:rPr>
                <w:color w:val="2A78D6"/>
                <w:vertAlign w:val="superscript"/>
              </w:rPr>
              <w:t>,</w:t>
            </w:r>
            <w:hyperlink r:id="rId33">
              <w:r>
                <w:rPr>
                  <w:color w:val="2A78D6"/>
                  <w:vertAlign w:val="superscript"/>
                  <w:sz w:val="14"/>
                </w:rPr>
                <w:t xml:space="preserve">27</w:t>
              </w:r>
            </w:hyperlink>
          </w:p>
        </w:tc>
        <w:tc>
          <w:tcPr>
            <w:tcW w:type="dxa" w:w="3138"/>
            <w:tcBorders>
              <w:top w:val="nil"/>
              <w:left w:val="nil"/>
              <w:bottom w:val="single" w:sz="4" w:color="E6EAF0" w:space="0"/>
              <w:right w:val="nil"/>
            </w:tcBorders>
          </w:tcPr>
          <w:p>
            <w:pPr>
              <w:spacing w:before="0" w:after="0"/>
            </w:pPr>
            <w:r>
              <w:rPr>
                <w:b w:val="0"/>
                <w:sz w:val="17"/>
              </w:rPr>
              <w:t>On track: 6M investments EUR 306.1m (−10.8% y/y); 68% went to Networks</w:t>
            </w:r>
            <w:hyperlink r:id="rId33">
              <w:r>
                <w:rPr>
                  <w:color w:val="2A78D6"/>
                  <w:vertAlign w:val="superscript"/>
                  <w:sz w:val="14"/>
                </w:rPr>
                <w:t xml:space="preserve">27</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r>
        <w:tc>
          <w:tcPr>
            <w:tcW w:type="dxa" w:w="2578"/>
            <w:tcBorders>
              <w:top w:val="nil"/>
              <w:left w:val="nil"/>
              <w:bottom w:val="single" w:sz="4" w:color="E6EAF0" w:space="0"/>
              <w:right w:val="nil"/>
            </w:tcBorders>
          </w:tcPr>
          <w:p>
            <w:pPr>
              <w:spacing w:before="0" w:after="0"/>
            </w:pPr>
            <w:r>
              <w:rPr>
                <w:b w:val="0"/>
                <w:sz w:val="17"/>
              </w:rPr>
              <w:t>Strategy 2025-2028: investments EUR 3.0-4.0bn, 2028 Adjusted EBITDA EUR 600-680m</w:t>
            </w:r>
          </w:p>
        </w:tc>
        <w:tc>
          <w:tcPr>
            <w:tcW w:type="dxa" w:w="2578"/>
            <w:tcBorders>
              <w:top w:val="nil"/>
              <w:left w:val="nil"/>
              <w:bottom w:val="single" w:sz="4" w:color="E6EAF0" w:space="0"/>
              <w:right w:val="nil"/>
            </w:tcBorders>
          </w:tcPr>
          <w:p>
            <w:pPr>
              <w:spacing w:before="0" w:after="0"/>
            </w:pPr>
            <w:r>
              <w:rPr>
                <w:b w:val="0"/>
                <w:sz w:val="17"/>
              </w:rPr>
              <w:t>New strategy 2026-2029: investments EUR 2.5-3.0bn, 2029 EBITDA EUR 640-700m (investment envelope reduced)</w:t>
            </w:r>
            <w:hyperlink r:id="rId37">
              <w:r>
                <w:rPr>
                  <w:color w:val="2A78D6"/>
                  <w:vertAlign w:val="superscript"/>
                  <w:sz w:val="14"/>
                </w:rPr>
                <w:t xml:space="preserve">28</w:t>
              </w:r>
            </w:hyperlink>
            <w:r>
              <w:rPr>
                <w:color w:val="2A78D6"/>
                <w:vertAlign w:val="superscript"/>
              </w:rPr>
              <w:t>,</w:t>
            </w:r>
            <w:hyperlink r:id="rId19">
              <w:r>
                <w:rPr>
                  <w:color w:val="2A78D6"/>
                  <w:vertAlign w:val="superscript"/>
                  <w:sz w:val="14"/>
                </w:rPr>
                <w:t xml:space="preserve">7</w:t>
              </w:r>
            </w:hyperlink>
          </w:p>
        </w:tc>
        <w:tc>
          <w:tcPr>
            <w:tcW w:type="dxa" w:w="3138"/>
            <w:tcBorders>
              <w:top w:val="nil"/>
              <w:left w:val="nil"/>
              <w:bottom w:val="single" w:sz="4" w:color="E6EAF0" w:space="0"/>
              <w:right w:val="nil"/>
            </w:tcBorders>
          </w:tcPr>
          <w:p>
            <w:pPr>
              <w:spacing w:before="0" w:after="0"/>
            </w:pPr>
            <w:r>
              <w:rPr>
                <w:b w:val="0"/>
                <w:sz w:val="17"/>
              </w:rPr>
              <w:t>Changed: the new 2026-2029 plan cuts the investment envelope to EUR 2.5-3.0bn and raises the EBITDA target to EUR 640-700m for 2029. Reason: not stated in the sources reviewed</w:t>
            </w:r>
            <w:hyperlink r:id="rId19">
              <w:r>
                <w:rPr>
                  <w:color w:val="2A78D6"/>
                  <w:vertAlign w:val="superscript"/>
                  <w:sz w:val="14"/>
                </w:rPr>
                <w:t xml:space="preserve">7</w:t>
              </w:r>
            </w:hyperlink>
            <w:r>
              <w:rPr>
                <w:b w:val="0"/>
                <w:sz w:val="17"/>
              </w:rPr>
              <w:t>.</w:t>
            </w:r>
          </w:p>
        </w:tc>
        <w:tc>
          <w:tcPr>
            <w:tcW w:type="dxa" w:w="1345"/>
            <w:tcBorders>
              <w:top w:val="nil"/>
              <w:left w:val="nil"/>
              <w:bottom w:val="single" w:sz="4" w:color="E6EAF0" w:space="0"/>
              <w:right w:val="nil"/>
            </w:tcBorders>
            <w:shd w:val="clear" w:color="auto" w:fill="FDF1D8"/>
          </w:tcPr>
          <w:p>
            <w:pPr>
              <w:spacing w:before="0" w:after="0"/>
            </w:pPr>
            <w:r>
              <w:rPr>
                <w:b/>
                <w:sz w:val="17"/>
              </w:rPr>
              <w:t>Revised</w:t>
            </w:r>
          </w:p>
        </w:tc>
      </w:tr>
      <w:tr>
        <w:tc>
          <w:tcPr>
            <w:tcW w:type="dxa" w:w="2578"/>
            <w:tcBorders>
              <w:top w:val="nil"/>
              <w:left w:val="nil"/>
              <w:bottom w:val="single" w:sz="4" w:color="E6EAF0" w:space="0"/>
              <w:right w:val="nil"/>
            </w:tcBorders>
          </w:tcPr>
          <w:p>
            <w:pPr>
              <w:spacing w:before="0" w:after="0"/>
            </w:pPr>
            <w:r>
              <w:rPr>
                <w:b w:val="0"/>
                <w:sz w:val="17"/>
              </w:rPr>
              <w:t>FFO / net debt ≥23% (2026-2029)</w:t>
            </w:r>
          </w:p>
        </w:tc>
        <w:tc>
          <w:tcPr>
            <w:tcW w:type="dxa" w:w="2578"/>
            <w:tcBorders>
              <w:top w:val="nil"/>
              <w:left w:val="nil"/>
              <w:bottom w:val="single" w:sz="4" w:color="E6EAF0" w:space="0"/>
              <w:right w:val="nil"/>
            </w:tcBorders>
          </w:tcPr>
          <w:p>
            <w:pPr>
              <w:spacing w:before="0" w:after="0"/>
            </w:pPr>
            <w:r>
              <w:rPr>
                <w:b w:val="0"/>
                <w:sz w:val="17"/>
              </w:rPr>
              <w:t>YE2025: 21.0%; 30 Jun 2026 (LTM): 22.2%</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p>
        </w:tc>
        <w:tc>
          <w:tcPr>
            <w:tcW w:type="dxa" w:w="3138"/>
            <w:tcBorders>
              <w:top w:val="nil"/>
              <w:left w:val="nil"/>
              <w:bottom w:val="single" w:sz="4" w:color="E6EAF0" w:space="0"/>
              <w:right w:val="nil"/>
            </w:tcBorders>
          </w:tcPr>
          <w:p>
            <w:pPr>
              <w:spacing w:before="0" w:after="0"/>
            </w:pPr>
            <w:r>
              <w:rPr>
                <w:b w:val="0"/>
                <w:sz w:val="17"/>
              </w:rPr>
              <w:t>Improving but still below target: 21.0% → 22.2% as FFO grew 11.3% while net debt stayed flat (+0.7%)</w:t>
            </w:r>
            <w:hyperlink r:id="rId15">
              <w:r>
                <w:rPr>
                  <w:color w:val="2A78D6"/>
                  <w:vertAlign w:val="superscript"/>
                  <w:sz w:val="14"/>
                </w:rPr>
                <w:t xml:space="preserve">29</w:t>
              </w:r>
            </w:hyperlink>
            <w:r>
              <w:rPr>
                <w:b w:val="0"/>
                <w:sz w:val="17"/>
              </w:rPr>
              <w:t>.</w:t>
            </w:r>
          </w:p>
        </w:tc>
        <w:tc>
          <w:tcPr>
            <w:tcW w:type="dxa" w:w="1345"/>
            <w:tcBorders>
              <w:top w:val="nil"/>
              <w:left w:val="nil"/>
              <w:bottom w:val="single" w:sz="4" w:color="E6EAF0" w:space="0"/>
              <w:right w:val="nil"/>
            </w:tcBorders>
            <w:shd w:val="clear" w:color="auto" w:fill="FDE7E5"/>
          </w:tcPr>
          <w:p>
            <w:pPr>
              <w:spacing w:before="0" w:after="0"/>
            </w:pPr>
            <w:r>
              <w:rPr>
                <w:b/>
                <w:sz w:val="17"/>
              </w:rPr>
              <w:t>Not met</w:t>
            </w:r>
          </w:p>
        </w:tc>
      </w:tr>
      <w:tr>
        <w:tc>
          <w:tcPr>
            <w:tcW w:type="dxa" w:w="2578"/>
            <w:tcBorders>
              <w:top w:val="nil"/>
              <w:left w:val="nil"/>
              <w:bottom w:val="single" w:sz="4" w:color="E6EAF0" w:space="0"/>
              <w:right w:val="nil"/>
            </w:tcBorders>
          </w:tcPr>
          <w:p>
            <w:pPr>
              <w:spacing w:before="0" w:after="0"/>
            </w:pPr>
            <w:r>
              <w:rPr>
                <w:b w:val="0"/>
                <w:sz w:val="17"/>
              </w:rPr>
              <w:t>Net debt / Adjusted EBITDA 3-4x; rating BBB or above</w:t>
            </w:r>
          </w:p>
        </w:tc>
        <w:tc>
          <w:tcPr>
            <w:tcW w:type="dxa" w:w="2578"/>
            <w:tcBorders>
              <w:top w:val="nil"/>
              <w:left w:val="nil"/>
              <w:bottom w:val="single" w:sz="4" w:color="E6EAF0" w:space="0"/>
              <w:right w:val="nil"/>
            </w:tcBorders>
          </w:tcPr>
          <w:p>
            <w:pPr>
              <w:spacing w:before="0" w:after="0"/>
            </w:pPr>
            <w:r>
              <w:rPr>
                <w:b w:val="0"/>
                <w:sz w:val="17"/>
              </w:rPr>
              <w:t>3.49x; S&amp;P BBB+, Moody's Baa1</w:t>
            </w:r>
            <w:hyperlink r:id="rId19">
              <w:r>
                <w:rPr>
                  <w:color w:val="2A78D6"/>
                  <w:vertAlign w:val="superscript"/>
                  <w:sz w:val="14"/>
                </w:rPr>
                <w:t xml:space="preserve">7</w:t>
              </w:r>
            </w:hyperlink>
            <w:r>
              <w:rPr>
                <w:color w:val="2A78D6"/>
                <w:vertAlign w:val="superscript"/>
              </w:rPr>
              <w:t>,</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p>
        </w:tc>
        <w:tc>
          <w:tcPr>
            <w:tcW w:type="dxa" w:w="3138"/>
            <w:tcBorders>
              <w:top w:val="nil"/>
              <w:left w:val="nil"/>
              <w:bottom w:val="single" w:sz="4" w:color="E6EAF0" w:space="0"/>
              <w:right w:val="nil"/>
            </w:tcBorders>
          </w:tcPr>
          <w:p>
            <w:pPr>
              <w:spacing w:before="0" w:after="0"/>
            </w:pPr>
            <w:r>
              <w:rPr>
                <w:b w:val="0"/>
                <w:sz w:val="17"/>
              </w:rPr>
              <w:t>Met: leverage 3.49x, in the middle of the range; net debt +0.7% since YE2025; ratings stable</w:t>
            </w:r>
            <w:hyperlink r:id="rId15">
              <w:r>
                <w:rPr>
                  <w:color w:val="2A78D6"/>
                  <w:vertAlign w:val="superscript"/>
                  <w:sz w:val="14"/>
                </w:rPr>
                <w:t xml:space="preserve">3</w:t>
              </w:r>
            </w:hyperlink>
            <w:r>
              <w:rPr>
                <w:color w:val="2A78D6"/>
                <w:vertAlign w:val="superscript"/>
              </w:rPr>
              <w:t>,</w:t>
            </w:r>
            <w:hyperlink r:id="rId12">
              <w:r>
                <w:rPr>
                  <w:color w:val="2A78D6"/>
                  <w:vertAlign w:val="superscript"/>
                  <w:sz w:val="14"/>
                </w:rPr>
                <w:t xml:space="preserve">1</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Dividend per share growth ≥3% a year</w:t>
            </w:r>
          </w:p>
        </w:tc>
        <w:tc>
          <w:tcPr>
            <w:tcW w:type="dxa" w:w="2578"/>
            <w:tcBorders>
              <w:top w:val="nil"/>
              <w:left w:val="nil"/>
              <w:bottom w:val="single" w:sz="4" w:color="E6EAF0" w:space="0"/>
              <w:right w:val="nil"/>
            </w:tcBorders>
          </w:tcPr>
          <w:p>
            <w:pPr>
              <w:spacing w:before="0" w:after="0"/>
            </w:pPr>
            <w:r>
              <w:rPr>
                <w:b w:val="0"/>
                <w:sz w:val="17"/>
              </w:rPr>
              <w:t>2025: EUR 1.366 (+3.0%); H1 2026: EUR 0.704 (+3.1%)</w:t>
            </w:r>
            <w:hyperlink r:id="rId19">
              <w:r>
                <w:rPr>
                  <w:color w:val="2A78D6"/>
                  <w:vertAlign w:val="superscript"/>
                  <w:sz w:val="14"/>
                </w:rPr>
                <w:t xml:space="preserve">7</w:t>
              </w:r>
            </w:hyperlink>
            <w:r>
              <w:rPr>
                <w:color w:val="2A78D6"/>
                <w:vertAlign w:val="superscript"/>
              </w:rPr>
              <w:t>,</w:t>
            </w:r>
            <w:hyperlink r:id="rId24">
              <w:r>
                <w:rPr>
                  <w:color w:val="2A78D6"/>
                  <w:vertAlign w:val="superscript"/>
                  <w:sz w:val="14"/>
                </w:rPr>
                <w:t xml:space="preserve">12</w:t>
              </w:r>
            </w:hyperlink>
            <w:r>
              <w:rPr>
                <w:color w:val="2A78D6"/>
                <w:vertAlign w:val="superscript"/>
              </w:rPr>
              <w:t>,</w:t>
            </w:r>
            <w:hyperlink r:id="rId16">
              <w:r>
                <w:rPr>
                  <w:color w:val="2A78D6"/>
                  <w:vertAlign w:val="superscript"/>
                  <w:sz w:val="14"/>
                </w:rPr>
                <w:t xml:space="preserve">4</w:t>
              </w:r>
            </w:hyperlink>
          </w:p>
        </w:tc>
        <w:tc>
          <w:tcPr>
            <w:tcW w:type="dxa" w:w="3138"/>
            <w:tcBorders>
              <w:top w:val="nil"/>
              <w:left w:val="nil"/>
              <w:bottom w:val="single" w:sz="4" w:color="E6EAF0" w:space="0"/>
              <w:right w:val="nil"/>
            </w:tcBorders>
          </w:tcPr>
          <w:p>
            <w:pPr>
              <w:spacing w:before="0" w:after="0"/>
            </w:pPr>
            <w:r>
              <w:rPr>
                <w:b w:val="0"/>
                <w:sz w:val="17"/>
              </w:rPr>
              <w:t>Met: +3.0% for 2025 and +3.1% for H1 2026, although adjusted profit fell 20.8% and free cash flow (EUR 5.3m) does not cover the dividend</w:t>
            </w:r>
            <w:hyperlink r:id="rId25">
              <w:r>
                <w:rPr>
                  <w:color w:val="2A78D6"/>
                  <w:vertAlign w:val="superscript"/>
                  <w:sz w:val="14"/>
                </w:rPr>
                <w:t xml:space="preserve">13</w:t>
              </w:r>
            </w:hyperlink>
            <w:r>
              <w:rPr>
                <w:color w:val="2A78D6"/>
                <w:vertAlign w:val="superscript"/>
              </w:rPr>
              <w:t>,</w:t>
            </w:r>
            <w:hyperlink r:id="rId16">
              <w:r>
                <w:rPr>
                  <w:color w:val="2A78D6"/>
                  <w:vertAlign w:val="superscript"/>
                  <w:sz w:val="14"/>
                </w:rPr>
                <w:t xml:space="preserve">4</w:t>
              </w:r>
            </w:hyperlink>
            <w:r>
              <w:rPr>
                <w:b w:val="0"/>
                <w:sz w:val="17"/>
              </w:rPr>
              <w:t>.</w:t>
            </w:r>
          </w:p>
        </w:tc>
        <w:tc>
          <w:tcPr>
            <w:tcW w:type="dxa" w:w="1345"/>
            <w:tcBorders>
              <w:top w:val="nil"/>
              <w:left w:val="nil"/>
              <w:bottom w:val="single" w:sz="4" w:color="E6EAF0" w:space="0"/>
              <w:right w:val="nil"/>
            </w:tcBorders>
            <w:shd w:val="clear" w:color="auto" w:fill="E3F3E8"/>
          </w:tcPr>
          <w:p>
            <w:pPr>
              <w:spacing w:before="0" w:after="0"/>
            </w:pPr>
            <w:r>
              <w:rPr>
                <w:b/>
                <w:sz w:val="17"/>
              </w:rPr>
              <w:t>Met</w:t>
            </w:r>
          </w:p>
        </w:tc>
      </w:tr>
      <w:tr>
        <w:tc>
          <w:tcPr>
            <w:tcW w:type="dxa" w:w="2578"/>
            <w:tcBorders>
              <w:top w:val="nil"/>
              <w:left w:val="nil"/>
              <w:bottom w:val="single" w:sz="4" w:color="E6EAF0" w:space="0"/>
              <w:right w:val="nil"/>
            </w:tcBorders>
          </w:tcPr>
          <w:p>
            <w:pPr>
              <w:spacing w:before="0" w:after="0"/>
            </w:pPr>
            <w:r>
              <w:rPr>
                <w:b w:val="0"/>
                <w:sz w:val="17"/>
              </w:rPr>
              <w:t>Green capacity 2.8-3.2 GW by 2029</w:t>
            </w:r>
          </w:p>
        </w:tc>
        <w:tc>
          <w:tcPr>
            <w:tcW w:type="dxa" w:w="2578"/>
            <w:tcBorders>
              <w:top w:val="nil"/>
              <w:left w:val="nil"/>
              <w:bottom w:val="single" w:sz="4" w:color="E6EAF0" w:space="0"/>
              <w:right w:val="nil"/>
            </w:tcBorders>
          </w:tcPr>
          <w:p>
            <w:pPr>
              <w:spacing w:before="0" w:after="0"/>
            </w:pPr>
            <w:r>
              <w:rPr>
                <w:b w:val="0"/>
                <w:sz w:val="17"/>
              </w:rPr>
              <w:t>2.1 GW installed, 0.7 GW under construction</w:t>
            </w:r>
            <w:hyperlink r:id="rId19">
              <w:r>
                <w:rPr>
                  <w:color w:val="2A78D6"/>
                  <w:vertAlign w:val="superscript"/>
                  <w:sz w:val="14"/>
                </w:rPr>
                <w:t xml:space="preserve">7</w:t>
              </w:r>
            </w:hyperlink>
            <w:r>
              <w:rPr>
                <w:color w:val="2A78D6"/>
                <w:vertAlign w:val="superscript"/>
              </w:rPr>
              <w:t>,</w:t>
            </w:r>
            <w:hyperlink r:id="rId38">
              <w:r>
                <w:rPr>
                  <w:color w:val="2A78D6"/>
                  <w:vertAlign w:val="superscript"/>
                  <w:sz w:val="14"/>
                </w:rPr>
                <w:t xml:space="preserve">30</w:t>
              </w:r>
            </w:hyperlink>
          </w:p>
        </w:tc>
        <w:tc>
          <w:tcPr>
            <w:tcW w:type="dxa" w:w="3138"/>
            <w:tcBorders>
              <w:top w:val="nil"/>
              <w:left w:val="nil"/>
              <w:bottom w:val="single" w:sz="4" w:color="E6EAF0" w:space="0"/>
              <w:right w:val="nil"/>
            </w:tcBorders>
          </w:tcPr>
          <w:p>
            <w:pPr>
              <w:spacing w:before="0" w:after="0"/>
            </w:pPr>
            <w:r>
              <w:rPr>
                <w:b w:val="0"/>
                <w:sz w:val="17"/>
              </w:rPr>
              <w:t>Progressing: 2.1 GW installed + 0.7 GW under construction = 2.8 GW, the bottom of the target range (own calculation)</w:t>
            </w:r>
            <w:hyperlink r:id="rId38">
              <w:r>
                <w:rPr>
                  <w:color w:val="2A78D6"/>
                  <w:vertAlign w:val="superscript"/>
                  <w:sz w:val="14"/>
                </w:rPr>
                <w:t xml:space="preserve">30</w:t>
              </w:r>
            </w:hyperlink>
            <w:r>
              <w:rPr>
                <w:b w:val="0"/>
                <w:sz w:val="17"/>
              </w:rPr>
              <w:t>.</w:t>
            </w:r>
          </w:p>
        </w:tc>
        <w:tc>
          <w:tcPr>
            <w:tcW w:type="dxa" w:w="1345"/>
            <w:tcBorders>
              <w:top w:val="nil"/>
              <w:left w:val="nil"/>
              <w:bottom w:val="single" w:sz="4" w:color="E6EAF0" w:space="0"/>
              <w:right w:val="nil"/>
            </w:tcBorders>
            <w:shd w:val="clear" w:color="auto" w:fill="EAF1F8"/>
          </w:tcPr>
          <w:p>
            <w:pPr>
              <w:spacing w:before="0" w:after="0"/>
            </w:pPr>
            <w:r>
              <w:rPr>
                <w:b/>
                <w:sz w:val="17"/>
              </w:rPr>
              <w:t>In progress</w:t>
            </w:r>
          </w:p>
        </w:tc>
      </w:tr>
    </w:tbl>
    <w:p>
      <w:pPr>
        <w:spacing w:before="0" w:after="40"/>
      </w:pPr>
    </w:p>
    <w:p>
      <w:pPr>
        <w:keepNext/>
        <w:pBdr>
          <w:bottom w:val="single" w:sz="8" w:color="12355B" w:space="4"/>
        </w:pBdr>
        <w:tabs>
          <w:tab w:pos="482" w:val="left"/>
        </w:tabs>
        <w:spacing w:before="360" w:after="160"/>
      </w:pPr>
      <w:r>
        <w:rPr>
          <w:b/>
          <w:color w:val="2A78D6"/>
          <w:sz w:val="18"/>
        </w:rPr>
        <w:t>06</w:t>
        <w:tab/>
      </w:r>
      <w:r>
        <w:rPr>
          <w:b/>
          <w:color w:val="12355B"/>
          <w:sz w:val="28"/>
        </w:rPr>
        <w:t>Investor information &amp; conclusions</w:t>
      </w:r>
    </w:p>
    <w:p>
      <w:pPr>
        <w:tabs>
          <w:tab w:pos="255" w:val="left"/>
        </w:tabs>
        <w:spacing w:before="0" w:after="80"/>
        <w:ind w:left="255" w:hanging="255"/>
      </w:pPr>
      <w:r>
        <w:rPr>
          <w:b/>
          <w:color w:val="2A78D6"/>
          <w:sz w:val="20"/>
        </w:rPr>
        <w:t>▪</w:t>
        <w:tab/>
      </w:r>
      <w:r>
        <w:rPr>
          <w:b/>
        </w:rPr>
        <w:t>Instruments held:</w:t>
      </w:r>
      <w:r>
        <w:rPr>
          <w:b w:val="0"/>
        </w:rPr>
        <w:t xml:space="preserve"> shares (IGN1L) and three bonds (2027, 2028, 2030). The bonds are senior unsecured and carry the issuer rating of BBB+ (S&amp;P)</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bondholders:</w:t>
      </w:r>
      <w:r>
        <w:rPr>
          <w:b w:val="0"/>
        </w:rPr>
        <w:t xml:space="preserve"> leverage (3.49x) is within the strategic 3-4x range and ratings are stable; FFO / net debt (22.2%) is still below the ≥23% target. Investment is mostly in regulated networks</w:t>
      </w:r>
      <w:hyperlink r:id="rId33">
        <w:r>
          <w:rPr>
            <w:color w:val="2A78D6"/>
            <w:vertAlign w:val="superscript"/>
            <w:sz w:val="17"/>
          </w:rPr>
          <w:t xml:space="preserve">31</w:t>
        </w:r>
      </w:hyperlink>
      <w:r>
        <w:rPr>
          <w:color w:val="2A78D6"/>
          <w:vertAlign w:val="superscript"/>
        </w:rPr>
        <w:t>,</w:t>
      </w:r>
      <w:hyperlink r:id="rId19">
        <w:r>
          <w:rPr>
            <w:color w:val="2A78D6"/>
            <w:vertAlign w:val="superscript"/>
            <w:sz w:val="17"/>
          </w:rPr>
          <w:t xml:space="preserve">7</w:t>
        </w:r>
      </w:hyperlink>
      <w:r>
        <w:rPr>
          <w:color w:val="2A78D6"/>
          <w:vertAlign w:val="superscript"/>
        </w:rPr>
        <w:t>,</w:t>
      </w:r>
      <w:hyperlink r:id="rId12">
        <w:r>
          <w:rPr>
            <w:color w:val="2A78D6"/>
            <w:vertAlign w:val="superscript"/>
            <w:sz w:val="17"/>
          </w:rPr>
          <w:t xml:space="preserve">1</w:t>
        </w:r>
      </w:hyperlink>
      <w:r>
        <w:rPr>
          <w:b w:val="0"/>
        </w:rPr>
        <w:t>.</w:t>
      </w:r>
    </w:p>
    <w:p>
      <w:pPr>
        <w:tabs>
          <w:tab w:pos="255" w:val="left"/>
        </w:tabs>
        <w:spacing w:before="0" w:after="80"/>
        <w:ind w:left="255" w:hanging="255"/>
      </w:pPr>
      <w:r>
        <w:rPr>
          <w:b/>
          <w:color w:val="2A78D6"/>
          <w:sz w:val="20"/>
        </w:rPr>
        <w:t>▪</w:t>
        <w:tab/>
      </w:r>
      <w:r>
        <w:rPr>
          <w:b/>
        </w:rPr>
        <w:t>XS1646530565:</w:t>
      </w:r>
      <w:r>
        <w:rPr>
          <w:b w:val="0"/>
        </w:rPr>
        <w:t xml:space="preserve"> the 2026-10-19 tender offer requires a decision (tender or hold to 2027-07-14). Terms and deadline are in the issuer's Tender Offer Launch Announcement</w:t>
      </w:r>
      <w:hyperlink r:id="rId17">
        <w:r>
          <w:rPr>
            <w:color w:val="2A78D6"/>
            <w:vertAlign w:val="superscript"/>
            <w:sz w:val="17"/>
          </w:rPr>
          <w:t xml:space="preserve">5</w:t>
        </w:r>
      </w:hyperlink>
      <w:r>
        <w:rPr>
          <w:b w:val="0"/>
        </w:rPr>
        <w:t>.</w:t>
      </w:r>
    </w:p>
    <w:p>
      <w:pPr>
        <w:tabs>
          <w:tab w:pos="255" w:val="left"/>
        </w:tabs>
        <w:spacing w:before="0" w:after="80"/>
        <w:ind w:left="255" w:hanging="255"/>
      </w:pPr>
      <w:r>
        <w:rPr>
          <w:b/>
          <w:color w:val="2A78D6"/>
          <w:sz w:val="20"/>
        </w:rPr>
        <w:t>▪</w:t>
        <w:tab/>
      </w:r>
      <w:r>
        <w:rPr>
          <w:b/>
        </w:rPr>
        <w:t>For shareholders:</w:t>
      </w:r>
      <w:r>
        <w:rPr>
          <w:b w:val="0"/>
        </w:rPr>
        <w:t xml:space="preserve"> H1 dividend EUR 0.704 (+3.1%), while adjusted profit is declining (−20.8%). Free cash flow EUR 5.3m - investment and dividends are partly debt-funded</w:t>
      </w:r>
      <w:hyperlink r:id="rId25">
        <w:r>
          <w:rPr>
            <w:color w:val="2A78D6"/>
            <w:vertAlign w:val="superscript"/>
            <w:sz w:val="17"/>
          </w:rPr>
          <w:t xml:space="preserve">13</w:t>
        </w:r>
      </w:hyperlink>
      <w:r>
        <w:rPr>
          <w:color w:val="2A78D6"/>
          <w:vertAlign w:val="superscript"/>
        </w:rPr>
        <w:t>,</w:t>
      </w:r>
      <w:hyperlink r:id="rId16">
        <w:r>
          <w:rPr>
            <w:color w:val="2A78D6"/>
            <w:vertAlign w:val="superscript"/>
            <w:sz w:val="17"/>
          </w:rPr>
          <w:t xml:space="preserve">4</w:t>
        </w:r>
      </w:hyperlink>
      <w:r>
        <w:rPr>
          <w:b w:val="0"/>
        </w:rPr>
        <w:t>.</w:t>
      </w:r>
    </w:p>
    <w:p>
      <w:pPr>
        <w:tabs>
          <w:tab w:pos="255" w:val="left"/>
        </w:tabs>
        <w:spacing w:before="0" w:after="80"/>
        <w:ind w:left="255" w:hanging="255"/>
      </w:pPr>
      <w:r>
        <w:rPr>
          <w:b/>
          <w:color w:val="2A78D6"/>
          <w:sz w:val="20"/>
        </w:rPr>
        <w:t>▪</w:t>
        <w:tab/>
      </w:r>
      <w:r>
        <w:rPr>
          <w:b/>
        </w:rPr>
        <w:t>Conclusion:</w:t>
      </w:r>
      <w:r>
        <w:rPr>
          <w:b w:val="0"/>
        </w:rPr>
        <w:t xml:space="preserve"> financial position broadly unchanged versus year-end 2025; credit metrics within strategic limits, ratings stable. Watch: 9M report (2026-11-11), wind and price effects on Green Capacities, FFO / net debt returning to ≥23%.</w:t>
      </w:r>
    </w:p>
    <w:p>
      <w:pPr>
        <w:keepNext/>
        <w:shd w:val="clear" w:color="auto" w:fill="EEF3F8"/>
        <w:spacing w:before="200" w:after="80"/>
        <w:ind w:left="85"/>
      </w:pPr>
      <w:r>
        <w:rPr>
          <w:b/>
          <w:caps/>
          <w:color w:val="12355B"/>
          <w:sz w:val="19"/>
        </w:rPr>
        <w:t>Covenants</w:t>
      </w:r>
    </w:p>
    <w:p>
      <w:pPr>
        <w:tabs>
          <w:tab w:pos="255" w:val="left"/>
        </w:tabs>
        <w:spacing w:before="0" w:after="80"/>
        <w:ind w:left="255" w:hanging="255"/>
      </w:pPr>
      <w:r>
        <w:rPr>
          <w:b/>
          <w:color w:val="2A78D6"/>
          <w:sz w:val="20"/>
        </w:rPr>
        <w:t>▪</w:t>
        <w:tab/>
      </w:r>
      <w:r>
        <w:rPr>
          <w:b/>
        </w:rPr>
        <w:t>No financial covenants in the bonds:</w:t>
      </w:r>
      <w:r>
        <w:rPr>
          <w:b w:val="0"/>
        </w:rPr>
        <w:t xml:space="preserve"> the issuer states its bonds carry no covenant constraints, except maintaining the investment grade rating for the EIB loans. Discipline comes from the ratings and the issuer's own targets (net debt / EBITDA 3-4x, FFO / net debt ≥23%)</w:t>
      </w:r>
      <w:hyperlink r:id="rId17">
        <w:r>
          <w:rPr>
            <w:color w:val="2A78D6"/>
            <w:vertAlign w:val="superscript"/>
            <w:sz w:val="17"/>
          </w:rPr>
          <w:t xml:space="preserve">5</w:t>
        </w:r>
      </w:hyperlink>
      <w:r>
        <w:rPr>
          <w:color w:val="2A78D6"/>
          <w:vertAlign w:val="superscript"/>
        </w:rPr>
        <w:t>,</w:t>
      </w:r>
      <w:hyperlink r:id="rId15">
        <w:r>
          <w:rPr>
            <w:color w:val="2A78D6"/>
            <w:vertAlign w:val="superscript"/>
            <w:sz w:val="17"/>
          </w:rPr>
          <w:t xml:space="preserve">3</w:t>
        </w:r>
      </w:hyperlink>
      <w:r>
        <w:rPr>
          <w:b w:val="0"/>
        </w:rPr>
        <w:t>.</w:t>
      </w:r>
    </w:p>
    <w:p>
      <w:pPr>
        <w:keepNext/>
        <w:pBdr>
          <w:bottom w:val="single" w:sz="8" w:color="12355B" w:space="4"/>
        </w:pBdr>
        <w:tabs>
          <w:tab w:pos="482" w:val="left"/>
        </w:tabs>
        <w:spacing w:before="360" w:after="160"/>
      </w:pPr>
      <w:r>
        <w:rPr>
          <w:b/>
          <w:color w:val="2A78D6"/>
          <w:sz w:val="18"/>
        </w:rPr>
        <w:t>07</w:t>
        <w:tab/>
      </w:r>
      <w:r>
        <w:rPr>
          <w:b/>
          <w:color w:val="12355B"/>
          <w:sz w:val="28"/>
        </w:rPr>
        <w:t>Market and environment</w:t>
      </w:r>
    </w:p>
    <w:p>
      <w:pPr>
        <w:tabs>
          <w:tab w:pos="255" w:val="left"/>
        </w:tabs>
        <w:spacing w:before="0" w:after="80"/>
        <w:ind w:left="255" w:hanging="255"/>
      </w:pPr>
      <w:r>
        <w:rPr>
          <w:b/>
          <w:color w:val="2A78D6"/>
          <w:sz w:val="20"/>
        </w:rPr>
        <w:t>▪</w:t>
        <w:tab/>
      </w:r>
      <w:r>
        <w:rPr>
          <w:b/>
        </w:rPr>
        <w:t>Cold winter cut both ways:</w:t>
      </w:r>
      <w:r>
        <w:rPr>
          <w:b w:val="0"/>
        </w:rPr>
        <w:t xml:space="preserve"> Customers &amp; Solutions EBITDA rose significantly on higher volumes in the cold winter and one-off gas wholesale deals in Q1</w:t>
      </w:r>
      <w:hyperlink r:id="rId35">
        <w:r>
          <w:rPr>
            <w:color w:val="2A78D6"/>
            <w:vertAlign w:val="superscript"/>
            <w:sz w:val="17"/>
          </w:rPr>
          <w:t xml:space="preserve">32</w:t>
        </w:r>
      </w:hyperlink>
      <w:r>
        <w:rPr>
          <w:b w:val="0"/>
        </w:rPr>
        <w:t>; but Green Capacities EBITDA fell 10% to EUR 149m on lower captured price and volume – the hedge price fell from EUR 130 to 82/MWh and wind speeds were very low in the cold winter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Balancing market maturing:</w:t>
      </w:r>
      <w:r>
        <w:rPr>
          <w:b w:val="0"/>
        </w:rPr>
        <w:t xml:space="preserve"> Reserve Capacities EBITDA fell 38% on lower balancing-capacity results as the market becomes more competitive, plus a planned overhaul of Elektrėnai Unit 7</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Regulation:</w:t>
      </w:r>
      <w:r>
        <w:rPr>
          <w:b w:val="0"/>
        </w:rPr>
        <w:t xml:space="preserve"> under the new prosumer law, from 2027-01-01 the tariff will be funded by prosumers (up to EUR 0.01/kWh) and other consumers (up to EUR 0.003/kWh)</w:t>
      </w:r>
      <w:hyperlink r:id="rId39">
        <w:r>
          <w:rPr>
            <w:color w:val="2A78D6"/>
            <w:vertAlign w:val="superscript"/>
            <w:sz w:val="17"/>
          </w:rPr>
          <w:t xml:space="preserve">33</w:t>
        </w:r>
      </w:hyperlink>
      <w:r>
        <w:rPr>
          <w:b w:val="0"/>
        </w:rPr>
        <w:t>; the CFO expects this to cover about 60-70% of current losses (prosumer EBITDA was about EUR -30m last year)</w:t>
      </w:r>
      <w:hyperlink r:id="rId34">
        <w:r>
          <w:rPr>
            <w:color w:val="2A78D6"/>
            <w:vertAlign w:val="superscript"/>
            <w:sz w:val="17"/>
          </w:rPr>
          <w:t xml:space="preserve">22</w:t>
        </w:r>
      </w:hyperlink>
      <w:r>
        <w:rPr>
          <w:b w:val="0"/>
        </w:rPr>
        <w:t>.</w:t>
      </w:r>
    </w:p>
    <w:p>
      <w:pPr>
        <w:tabs>
          <w:tab w:pos="255" w:val="left"/>
        </w:tabs>
        <w:spacing w:before="0" w:after="80"/>
        <w:ind w:left="255" w:hanging="255"/>
      </w:pPr>
      <w:r>
        <w:rPr>
          <w:b/>
          <w:color w:val="2A78D6"/>
          <w:sz w:val="20"/>
        </w:rPr>
        <w:t>▪</w:t>
        <w:tab/>
      </w:r>
      <w:r>
        <w:rPr>
          <w:b/>
        </w:rPr>
        <w:t>Guidance unchanged:</w:t>
      </w:r>
      <w:r>
        <w:rPr>
          <w:b w:val="0"/>
        </w:rPr>
        <w:t xml:space="preserve"> 2026 Adjusted EBITDA EUR 550-600m, investments EUR 590-690m</w:t>
      </w:r>
      <w:hyperlink r:id="rId35">
        <w:r>
          <w:rPr>
            <w:color w:val="2A78D6"/>
            <w:vertAlign w:val="superscript"/>
            <w:sz w:val="17"/>
          </w:rPr>
          <w:t xml:space="preserve">32</w:t>
        </w:r>
      </w:hyperlink>
      <w:r>
        <w:rPr>
          <w:b w:val="0"/>
        </w:rPr>
        <w:t>.</w:t>
      </w:r>
    </w:p>
    <w:tbl>
      <w:tblPr>
        <w:tblW w:w="9639" w:type="dxa"/>
        <w:tblBorders>
          <w:top w:val="nil"/>
          <w:left w:val="nil"/>
          <w:bottom w:val="nil"/>
          <w:right w:val="nil"/>
          <w:insideH w:val="nil"/>
          <w:insideV w:val="nil"/>
        </w:tblBorders>
        <w:tblLayout w:type="fixed"/>
        <w:tblCellMar>
          <w:top w:w="70" w:type="dxa"/>
          <w:left w:w="100" w:type="dxa"/>
          <w:bottom w:w="70" w:type="dxa"/>
          <w:right w:w="100" w:type="dxa"/>
        </w:tblCellMar>
        <w:tblLook w:firstColumn="1" w:firstRow="1" w:lastColumn="0" w:lastRow="0" w:noHBand="0" w:noVBand="1" w:val="04A0"/>
      </w:tblPr>
      <w:tblGrid>
        <w:gridCol w:w="3515"/>
        <w:gridCol w:w="1814"/>
        <w:gridCol w:w="1360"/>
        <w:gridCol w:w="1360"/>
        <w:gridCol w:w="1587"/>
      </w:tblGrid>
      <w:tr>
        <w:tc>
          <w:tcPr>
            <w:tcW w:type="dxa" w:w="3515"/>
            <w:tcBorders>
              <w:top w:val="nil"/>
              <w:left w:val="nil"/>
              <w:bottom w:val="single" w:sz="8" w:color="12355B" w:space="0"/>
              <w:right w:val="nil"/>
            </w:tcBorders>
          </w:tcPr>
          <w:p>
            <w:pPr>
              <w:spacing w:before="0" w:after="0"/>
            </w:pPr>
            <w:r>
              <w:rPr>
                <w:b/>
                <w:caps/>
                <w:color w:val="667085"/>
                <w:sz w:val="14"/>
              </w:rPr>
            </w:r>
          </w:p>
        </w:tc>
        <w:tc>
          <w:tcPr>
            <w:tcW w:type="dxa" w:w="1814"/>
            <w:tcBorders>
              <w:top w:val="nil"/>
              <w:left w:val="nil"/>
              <w:bottom w:val="single" w:sz="8" w:color="12355B" w:space="0"/>
              <w:right w:val="nil"/>
            </w:tcBorders>
          </w:tcPr>
          <w:p>
            <w:pPr>
              <w:spacing w:before="0" w:after="0"/>
              <w:jc w:val="right"/>
            </w:pPr>
            <w:r>
              <w:rPr>
                <w:b/>
                <w:caps/>
                <w:color w:val="667085"/>
                <w:sz w:val="14"/>
              </w:rPr>
              <w:t>Now</w:t>
            </w:r>
          </w:p>
        </w:tc>
        <w:tc>
          <w:tcPr>
            <w:tcW w:type="dxa" w:w="1361"/>
            <w:tcBorders>
              <w:top w:val="nil"/>
              <w:left w:val="nil"/>
              <w:bottom w:val="single" w:sz="8" w:color="12355B" w:space="0"/>
              <w:right w:val="nil"/>
            </w:tcBorders>
          </w:tcPr>
          <w:p>
            <w:pPr>
              <w:spacing w:before="0" w:after="0"/>
              <w:jc w:val="right"/>
            </w:pPr>
            <w:r>
              <w:rPr>
                <w:b/>
                <w:caps/>
                <w:color w:val="667085"/>
                <w:sz w:val="14"/>
              </w:rPr>
              <w:t>3 months ago</w:t>
            </w:r>
          </w:p>
        </w:tc>
        <w:tc>
          <w:tcPr>
            <w:tcW w:type="dxa" w:w="1361"/>
            <w:tcBorders>
              <w:top w:val="nil"/>
              <w:left w:val="nil"/>
              <w:bottom w:val="single" w:sz="8" w:color="12355B" w:space="0"/>
              <w:right w:val="nil"/>
            </w:tcBorders>
          </w:tcPr>
          <w:p>
            <w:pPr>
              <w:spacing w:before="0" w:after="0"/>
              <w:jc w:val="right"/>
            </w:pPr>
            <w:r>
              <w:rPr>
                <w:b/>
                <w:caps/>
                <w:color w:val="667085"/>
                <w:sz w:val="14"/>
              </w:rPr>
              <w:t>12 months ago</w:t>
            </w:r>
          </w:p>
        </w:tc>
        <w:tc>
          <w:tcPr>
            <w:tcW w:type="dxa" w:w="1587"/>
            <w:tcBorders>
              <w:top w:val="nil"/>
              <w:left w:val="nil"/>
              <w:bottom w:val="single" w:sz="8" w:color="12355B" w:space="0"/>
              <w:right w:val="nil"/>
            </w:tcBorders>
          </w:tcPr>
          <w:p>
            <w:pPr>
              <w:spacing w:before="0" w:after="0"/>
              <w:jc w:val="right"/>
            </w:pPr>
            <w:r>
              <w:rPr>
                <w:b/>
                <w:caps/>
                <w:color w:val="667085"/>
                <w:sz w:val="14"/>
              </w:rPr>
              <w:t>12-month change</w:t>
            </w:r>
          </w:p>
        </w:tc>
      </w:tr>
      <w:tr>
        <w:tc>
          <w:tcPr>
            <w:tcW w:type="dxa" w:w="3515"/>
            <w:tcBorders>
              <w:top w:val="nil"/>
              <w:left w:val="nil"/>
              <w:bottom w:val="single" w:sz="4" w:color="E6EAF0" w:space="0"/>
              <w:right w:val="nil"/>
            </w:tcBorders>
          </w:tcPr>
          <w:p>
            <w:pPr>
              <w:spacing w:before="0" w:after="0"/>
            </w:pPr>
            <w:r>
              <w:rPr>
                <w:b w:val="0"/>
                <w:sz w:val="17"/>
              </w:rPr>
              <w:t>ECB deposit facility rate</w:t>
            </w:r>
          </w:p>
        </w:tc>
        <w:tc>
          <w:tcPr>
            <w:tcW w:type="dxa" w:w="1814"/>
            <w:tcBorders>
              <w:top w:val="nil"/>
              <w:left w:val="nil"/>
              <w:bottom w:val="single" w:sz="4" w:color="E6EAF0" w:space="0"/>
              <w:right w:val="nil"/>
            </w:tcBorders>
          </w:tcPr>
          <w:p>
            <w:pPr>
              <w:spacing w:before="0" w:after="0"/>
              <w:jc w:val="right"/>
            </w:pPr>
            <w:r>
              <w:rPr>
                <w:b w:val="0"/>
                <w:sz w:val="17"/>
              </w:rPr>
              <w:t>2.50% (2026-09)</w:t>
            </w:r>
          </w:p>
        </w:tc>
        <w:tc>
          <w:tcPr>
            <w:tcW w:type="dxa" w:w="1361"/>
            <w:tcBorders>
              <w:top w:val="nil"/>
              <w:left w:val="nil"/>
              <w:bottom w:val="single" w:sz="4" w:color="E6EAF0" w:space="0"/>
              <w:right w:val="nil"/>
            </w:tcBorders>
          </w:tcPr>
          <w:p>
            <w:pPr>
              <w:spacing w:before="0" w:after="0"/>
              <w:jc w:val="right"/>
            </w:pPr>
            <w:r>
              <w:rPr>
                <w:b w:val="0"/>
                <w:sz w:val="17"/>
              </w:rPr>
              <w:t>2.25%</w:t>
            </w:r>
          </w:p>
        </w:tc>
        <w:tc>
          <w:tcPr>
            <w:tcW w:type="dxa" w:w="1361"/>
            <w:tcBorders>
              <w:top w:val="nil"/>
              <w:left w:val="nil"/>
              <w:bottom w:val="single" w:sz="4" w:color="E6EAF0" w:space="0"/>
              <w:right w:val="nil"/>
            </w:tcBorders>
          </w:tcPr>
          <w:p>
            <w:pPr>
              <w:spacing w:before="0" w:after="0"/>
              <w:jc w:val="right"/>
            </w:pPr>
            <w:r>
              <w:rPr>
                <w:b w:val="0"/>
                <w:sz w:val="17"/>
              </w:rPr>
              <w:t>–</w:t>
            </w:r>
          </w:p>
        </w:tc>
        <w:tc>
          <w:tcPr>
            <w:tcW w:type="dxa" w:w="1587"/>
            <w:tcBorders>
              <w:top w:val="nil"/>
              <w:left w:val="nil"/>
              <w:bottom w:val="single" w:sz="4" w:color="E6EAF0" w:space="0"/>
              <w:right w:val="nil"/>
            </w:tcBorders>
          </w:tcPr>
          <w:p>
            <w:pPr>
              <w:spacing w:before="0" w:after="0"/>
              <w:jc w:val="right"/>
            </w:pPr>
            <w:r>
              <w:rPr>
                <w:b w:val="0"/>
                <w:sz w:val="17"/>
              </w:rPr>
              <w:t>–</w:t>
            </w:r>
          </w:p>
        </w:tc>
      </w:tr>
      <w:tr>
        <w:tc>
          <w:tcPr>
            <w:tcW w:type="dxa" w:w="3515"/>
            <w:tcBorders>
              <w:top w:val="nil"/>
              <w:left w:val="nil"/>
              <w:bottom w:val="single" w:sz="4" w:color="E6EAF0" w:space="0"/>
              <w:right w:val="nil"/>
            </w:tcBorders>
          </w:tcPr>
          <w:p>
            <w:pPr>
              <w:spacing w:before="0" w:after="0"/>
            </w:pPr>
            <w:r>
              <w:rPr>
                <w:b w:val="0"/>
                <w:sz w:val="17"/>
              </w:rPr>
              <w:t>3-month Euribor</w:t>
            </w:r>
          </w:p>
        </w:tc>
        <w:tc>
          <w:tcPr>
            <w:tcW w:type="dxa" w:w="1814"/>
            <w:tcBorders>
              <w:top w:val="nil"/>
              <w:left w:val="nil"/>
              <w:bottom w:val="single" w:sz="4" w:color="E6EAF0" w:space="0"/>
              <w:right w:val="nil"/>
            </w:tcBorders>
          </w:tcPr>
          <w:p>
            <w:pPr>
              <w:spacing w:before="0" w:after="0"/>
              <w:jc w:val="right"/>
            </w:pPr>
            <w:r>
              <w:rPr>
                <w:b w:val="0"/>
                <w:sz w:val="17"/>
              </w:rPr>
              <w:t>2.64% (2026-09)</w:t>
            </w:r>
          </w:p>
        </w:tc>
        <w:tc>
          <w:tcPr>
            <w:tcW w:type="dxa" w:w="1361"/>
            <w:tcBorders>
              <w:top w:val="nil"/>
              <w:left w:val="nil"/>
              <w:bottom w:val="single" w:sz="4" w:color="E6EAF0" w:space="0"/>
              <w:right w:val="nil"/>
            </w:tcBorders>
          </w:tcPr>
          <w:p>
            <w:pPr>
              <w:spacing w:before="0" w:after="0"/>
              <w:jc w:val="right"/>
            </w:pPr>
            <w:r>
              <w:rPr>
                <w:b w:val="0"/>
                <w:sz w:val="17"/>
              </w:rPr>
              <w:t>2.34%</w:t>
            </w:r>
          </w:p>
        </w:tc>
        <w:tc>
          <w:tcPr>
            <w:tcW w:type="dxa" w:w="1361"/>
            <w:tcBorders>
              <w:top w:val="nil"/>
              <w:left w:val="nil"/>
              <w:bottom w:val="single" w:sz="4" w:color="E6EAF0" w:space="0"/>
              <w:right w:val="nil"/>
            </w:tcBorders>
          </w:tcPr>
          <w:p>
            <w:pPr>
              <w:spacing w:before="0" w:after="0"/>
              <w:jc w:val="right"/>
            </w:pPr>
            <w:r>
              <w:rPr>
                <w:b w:val="0"/>
                <w:sz w:val="17"/>
              </w:rPr>
              <w:t>2.03%</w:t>
            </w:r>
          </w:p>
        </w:tc>
        <w:tc>
          <w:tcPr>
            <w:tcW w:type="dxa" w:w="1587"/>
            <w:tcBorders>
              <w:top w:val="nil"/>
              <w:left w:val="nil"/>
              <w:bottom w:val="single" w:sz="4" w:color="E6EAF0" w:space="0"/>
              <w:right w:val="nil"/>
            </w:tcBorders>
          </w:tcPr>
          <w:p>
            <w:pPr>
              <w:spacing w:before="0" w:after="0"/>
              <w:jc w:val="right"/>
            </w:pPr>
            <w:r>
              <w:rPr>
                <w:b w:val="0"/>
                <w:sz w:val="17"/>
              </w:rPr>
              <w:t>▲ 0.61 p. p.</w:t>
            </w:r>
          </w:p>
        </w:tc>
      </w:tr>
      <w:tr>
        <w:tc>
          <w:tcPr>
            <w:tcW w:type="dxa" w:w="3515"/>
            <w:tcBorders>
              <w:top w:val="nil"/>
              <w:left w:val="nil"/>
              <w:bottom w:val="single" w:sz="4" w:color="E6EAF0" w:space="0"/>
              <w:right w:val="nil"/>
            </w:tcBorders>
          </w:tcPr>
          <w:p>
            <w:pPr>
              <w:spacing w:before="0" w:after="0"/>
            </w:pPr>
            <w:r>
              <w:rPr>
                <w:b w:val="0"/>
                <w:sz w:val="17"/>
              </w:rPr>
              <w:t>6-month Euribor</w:t>
            </w:r>
          </w:p>
        </w:tc>
        <w:tc>
          <w:tcPr>
            <w:tcW w:type="dxa" w:w="1814"/>
            <w:tcBorders>
              <w:top w:val="nil"/>
              <w:left w:val="nil"/>
              <w:bottom w:val="single" w:sz="4" w:color="E6EAF0" w:space="0"/>
              <w:right w:val="nil"/>
            </w:tcBorders>
          </w:tcPr>
          <w:p>
            <w:pPr>
              <w:spacing w:before="0" w:after="0"/>
              <w:jc w:val="right"/>
            </w:pPr>
            <w:r>
              <w:rPr>
                <w:b w:val="0"/>
                <w:sz w:val="17"/>
              </w:rPr>
              <w:t>2.92% (2026-09)</w:t>
            </w:r>
          </w:p>
        </w:tc>
        <w:tc>
          <w:tcPr>
            <w:tcW w:type="dxa" w:w="1361"/>
            <w:tcBorders>
              <w:top w:val="nil"/>
              <w:left w:val="nil"/>
              <w:bottom w:val="single" w:sz="4" w:color="E6EAF0" w:space="0"/>
              <w:right w:val="nil"/>
            </w:tcBorders>
          </w:tcPr>
          <w:p>
            <w:pPr>
              <w:spacing w:before="0" w:after="0"/>
              <w:jc w:val="right"/>
            </w:pPr>
            <w:r>
              <w:rPr>
                <w:b w:val="0"/>
                <w:sz w:val="17"/>
              </w:rPr>
              <w:t>2.60%</w:t>
            </w:r>
          </w:p>
        </w:tc>
        <w:tc>
          <w:tcPr>
            <w:tcW w:type="dxa" w:w="1361"/>
            <w:tcBorders>
              <w:top w:val="nil"/>
              <w:left w:val="nil"/>
              <w:bottom w:val="single" w:sz="4" w:color="E6EAF0" w:space="0"/>
              <w:right w:val="nil"/>
            </w:tcBorders>
          </w:tcPr>
          <w:p>
            <w:pPr>
              <w:spacing w:before="0" w:after="0"/>
              <w:jc w:val="right"/>
            </w:pPr>
            <w:r>
              <w:rPr>
                <w:b w:val="0"/>
                <w:sz w:val="17"/>
              </w:rPr>
              <w:t>2.10%</w:t>
            </w:r>
          </w:p>
        </w:tc>
        <w:tc>
          <w:tcPr>
            <w:tcW w:type="dxa" w:w="1587"/>
            <w:tcBorders>
              <w:top w:val="nil"/>
              <w:left w:val="nil"/>
              <w:bottom w:val="single" w:sz="4" w:color="E6EAF0" w:space="0"/>
              <w:right w:val="nil"/>
            </w:tcBorders>
          </w:tcPr>
          <w:p>
            <w:pPr>
              <w:spacing w:before="0" w:after="0"/>
              <w:jc w:val="right"/>
            </w:pPr>
            <w:r>
              <w:rPr>
                <w:b w:val="0"/>
                <w:sz w:val="17"/>
              </w:rPr>
              <w:t>▲ 0.82 p. p.</w:t>
            </w:r>
          </w:p>
        </w:tc>
      </w:tr>
      <w:tr>
        <w:tc>
          <w:tcPr>
            <w:tcW w:type="dxa" w:w="3515"/>
            <w:tcBorders>
              <w:top w:val="nil"/>
              <w:left w:val="nil"/>
              <w:bottom w:val="single" w:sz="4" w:color="E6EAF0" w:space="0"/>
              <w:right w:val="nil"/>
            </w:tcBorders>
          </w:tcPr>
          <w:p>
            <w:pPr>
              <w:spacing w:before="0" w:after="0"/>
            </w:pPr>
            <w:r>
              <w:rPr>
                <w:b w:val="0"/>
                <w:sz w:val="17"/>
              </w:rPr>
              <w:t>12-month Euribor</w:t>
            </w:r>
          </w:p>
        </w:tc>
        <w:tc>
          <w:tcPr>
            <w:tcW w:type="dxa" w:w="1814"/>
            <w:tcBorders>
              <w:top w:val="nil"/>
              <w:left w:val="nil"/>
              <w:bottom w:val="single" w:sz="4" w:color="E6EAF0" w:space="0"/>
              <w:right w:val="nil"/>
            </w:tcBorders>
          </w:tcPr>
          <w:p>
            <w:pPr>
              <w:spacing w:before="0" w:after="0"/>
              <w:jc w:val="right"/>
            </w:pPr>
            <w:r>
              <w:rPr>
                <w:b w:val="0"/>
                <w:sz w:val="17"/>
              </w:rPr>
              <w:t>3.25% (2026-09)</w:t>
            </w:r>
          </w:p>
        </w:tc>
        <w:tc>
          <w:tcPr>
            <w:tcW w:type="dxa" w:w="1361"/>
            <w:tcBorders>
              <w:top w:val="nil"/>
              <w:left w:val="nil"/>
              <w:bottom w:val="single" w:sz="4" w:color="E6EAF0" w:space="0"/>
              <w:right w:val="nil"/>
            </w:tcBorders>
          </w:tcPr>
          <w:p>
            <w:pPr>
              <w:spacing w:before="0" w:after="0"/>
              <w:jc w:val="right"/>
            </w:pPr>
            <w:r>
              <w:rPr>
                <w:b w:val="0"/>
                <w:sz w:val="17"/>
              </w:rPr>
              <w:t>2.80%</w:t>
            </w:r>
          </w:p>
        </w:tc>
        <w:tc>
          <w:tcPr>
            <w:tcW w:type="dxa" w:w="1361"/>
            <w:tcBorders>
              <w:top w:val="nil"/>
              <w:left w:val="nil"/>
              <w:bottom w:val="single" w:sz="4" w:color="E6EAF0" w:space="0"/>
              <w:right w:val="nil"/>
            </w:tcBorders>
          </w:tcPr>
          <w:p>
            <w:pPr>
              <w:spacing w:before="0" w:after="0"/>
              <w:jc w:val="right"/>
            </w:pPr>
            <w:r>
              <w:rPr>
                <w:b w:val="0"/>
                <w:sz w:val="17"/>
              </w:rPr>
              <w:t>2.17%</w:t>
            </w:r>
          </w:p>
        </w:tc>
        <w:tc>
          <w:tcPr>
            <w:tcW w:type="dxa" w:w="1587"/>
            <w:tcBorders>
              <w:top w:val="nil"/>
              <w:left w:val="nil"/>
              <w:bottom w:val="single" w:sz="4" w:color="E6EAF0" w:space="0"/>
              <w:right w:val="nil"/>
            </w:tcBorders>
          </w:tcPr>
          <w:p>
            <w:pPr>
              <w:spacing w:before="0" w:after="0"/>
              <w:jc w:val="right"/>
            </w:pPr>
            <w:r>
              <w:rPr>
                <w:b w:val="0"/>
                <w:sz w:val="17"/>
              </w:rPr>
              <w:t>▲ 1.08 p. p.</w:t>
            </w:r>
          </w:p>
        </w:tc>
      </w:tr>
      <w:tr>
        <w:tc>
          <w:tcPr>
            <w:tcW w:type="dxa" w:w="3515"/>
            <w:tcBorders>
              <w:top w:val="nil"/>
              <w:left w:val="nil"/>
              <w:bottom w:val="single" w:sz="4" w:color="E6EAF0" w:space="0"/>
              <w:right w:val="nil"/>
            </w:tcBorders>
          </w:tcPr>
          <w:p>
            <w:pPr>
              <w:spacing w:before="0" w:after="0"/>
            </w:pPr>
            <w:r>
              <w:rPr>
                <w:b w:val="0"/>
                <w:sz w:val="17"/>
              </w:rPr>
              <w:t>Euro area AAA government 10-year yield</w:t>
            </w:r>
          </w:p>
        </w:tc>
        <w:tc>
          <w:tcPr>
            <w:tcW w:type="dxa" w:w="1814"/>
            <w:tcBorders>
              <w:top w:val="nil"/>
              <w:left w:val="nil"/>
              <w:bottom w:val="single" w:sz="4" w:color="E6EAF0" w:space="0"/>
              <w:right w:val="nil"/>
            </w:tcBorders>
          </w:tcPr>
          <w:p>
            <w:pPr>
              <w:spacing w:before="0" w:after="0"/>
              <w:jc w:val="right"/>
            </w:pPr>
            <w:r>
              <w:rPr>
                <w:b w:val="0"/>
                <w:sz w:val="17"/>
              </w:rPr>
              <w:t>3.37% (2026-10)</w:t>
            </w:r>
          </w:p>
        </w:tc>
        <w:tc>
          <w:tcPr>
            <w:tcW w:type="dxa" w:w="1361"/>
            <w:tcBorders>
              <w:top w:val="nil"/>
              <w:left w:val="nil"/>
              <w:bottom w:val="single" w:sz="4" w:color="E6EAF0" w:space="0"/>
              <w:right w:val="nil"/>
            </w:tcBorders>
          </w:tcPr>
          <w:p>
            <w:pPr>
              <w:spacing w:before="0" w:after="0"/>
              <w:jc w:val="right"/>
            </w:pPr>
            <w:r>
              <w:rPr>
                <w:b w:val="0"/>
                <w:sz w:val="17"/>
              </w:rPr>
              <w:t>3.23%</w:t>
            </w:r>
          </w:p>
        </w:tc>
        <w:tc>
          <w:tcPr>
            <w:tcW w:type="dxa" w:w="1361"/>
            <w:tcBorders>
              <w:top w:val="nil"/>
              <w:left w:val="nil"/>
              <w:bottom w:val="single" w:sz="4" w:color="E6EAF0" w:space="0"/>
              <w:right w:val="nil"/>
            </w:tcBorders>
          </w:tcPr>
          <w:p>
            <w:pPr>
              <w:spacing w:before="0" w:after="0"/>
              <w:jc w:val="right"/>
            </w:pPr>
            <w:r>
              <w:rPr>
                <w:b w:val="0"/>
                <w:sz w:val="17"/>
              </w:rPr>
              <w:t>2.72%</w:t>
            </w:r>
          </w:p>
        </w:tc>
        <w:tc>
          <w:tcPr>
            <w:tcW w:type="dxa" w:w="1587"/>
            <w:tcBorders>
              <w:top w:val="nil"/>
              <w:left w:val="nil"/>
              <w:bottom w:val="single" w:sz="4" w:color="E6EAF0" w:space="0"/>
              <w:right w:val="nil"/>
            </w:tcBorders>
          </w:tcPr>
          <w:p>
            <w:pPr>
              <w:spacing w:before="0" w:after="0"/>
              <w:jc w:val="right"/>
            </w:pPr>
            <w:r>
              <w:rPr>
                <w:b w:val="0"/>
                <w:sz w:val="17"/>
              </w:rPr>
              <w:t>▲ 0.65 p. p.</w:t>
            </w:r>
          </w:p>
        </w:tc>
      </w:tr>
      <w:tr>
        <w:tc>
          <w:tcPr>
            <w:tcW w:type="dxa" w:w="3515"/>
            <w:tcBorders>
              <w:top w:val="nil"/>
              <w:left w:val="nil"/>
              <w:bottom w:val="single" w:sz="4" w:color="E6EAF0" w:space="0"/>
              <w:right w:val="nil"/>
            </w:tcBorders>
          </w:tcPr>
          <w:p>
            <w:pPr>
              <w:spacing w:before="0" w:after="0"/>
            </w:pPr>
            <w:r>
              <w:rPr>
                <w:b w:val="0"/>
                <w:sz w:val="17"/>
              </w:rPr>
              <w:t>Euro area inflation (HICP, annual)</w:t>
            </w:r>
          </w:p>
        </w:tc>
        <w:tc>
          <w:tcPr>
            <w:tcW w:type="dxa" w:w="1814"/>
            <w:tcBorders>
              <w:top w:val="nil"/>
              <w:left w:val="nil"/>
              <w:bottom w:val="single" w:sz="4" w:color="E6EAF0" w:space="0"/>
              <w:right w:val="nil"/>
            </w:tcBorders>
          </w:tcPr>
          <w:p>
            <w:pPr>
              <w:spacing w:before="0" w:after="0"/>
              <w:jc w:val="right"/>
            </w:pPr>
            <w:r>
              <w:rPr>
                <w:b w:val="0"/>
                <w:sz w:val="17"/>
              </w:rPr>
              <w:t>1.90% (2025-12)</w:t>
            </w:r>
          </w:p>
        </w:tc>
        <w:tc>
          <w:tcPr>
            <w:tcW w:type="dxa" w:w="1361"/>
            <w:tcBorders>
              <w:top w:val="nil"/>
              <w:left w:val="nil"/>
              <w:bottom w:val="single" w:sz="4" w:color="E6EAF0" w:space="0"/>
              <w:right w:val="nil"/>
            </w:tcBorders>
          </w:tcPr>
          <w:p>
            <w:pPr>
              <w:spacing w:before="0" w:after="0"/>
              <w:jc w:val="right"/>
            </w:pPr>
            <w:r>
              <w:rPr>
                <w:b w:val="0"/>
                <w:sz w:val="17"/>
              </w:rPr>
              <w:t>2.20%</w:t>
            </w:r>
          </w:p>
        </w:tc>
        <w:tc>
          <w:tcPr>
            <w:tcW w:type="dxa" w:w="1361"/>
            <w:tcBorders>
              <w:top w:val="nil"/>
              <w:left w:val="nil"/>
              <w:bottom w:val="single" w:sz="4" w:color="E6EAF0" w:space="0"/>
              <w:right w:val="nil"/>
            </w:tcBorders>
          </w:tcPr>
          <w:p>
            <w:pPr>
              <w:spacing w:before="0" w:after="0"/>
              <w:jc w:val="right"/>
            </w:pPr>
            <w:r>
              <w:rPr>
                <w:b w:val="0"/>
                <w:sz w:val="17"/>
              </w:rPr>
              <w:t>2.40%</w:t>
            </w:r>
          </w:p>
        </w:tc>
        <w:tc>
          <w:tcPr>
            <w:tcW w:type="dxa" w:w="1587"/>
            <w:tcBorders>
              <w:top w:val="nil"/>
              <w:left w:val="nil"/>
              <w:bottom w:val="single" w:sz="4" w:color="E6EAF0" w:space="0"/>
              <w:right w:val="nil"/>
            </w:tcBorders>
          </w:tcPr>
          <w:p>
            <w:pPr>
              <w:spacing w:before="0" w:after="0"/>
              <w:jc w:val="right"/>
            </w:pPr>
            <w:r>
              <w:rPr>
                <w:b w:val="0"/>
                <w:sz w:val="17"/>
              </w:rPr>
              <w:t>▼ 0.50 p. p.</w:t>
            </w:r>
          </w:p>
        </w:tc>
      </w:tr>
    </w:tbl>
    <w:p>
      <w:pPr>
        <w:spacing w:before="0" w:after="40"/>
      </w:pPr>
    </w:p>
    <w:p>
      <w:pPr>
        <w:spacing w:before="40" w:after="60"/>
      </w:pPr>
      <w:r>
        <w:rPr>
          <w:b w:val="0"/>
          <w:color w:val="667085"/>
          <w:sz w:val="16"/>
        </w:rPr>
        <w:t>Euro area rates and inflation (ECB data, end-of-month value; Euribor and inflation – monthly average). Relevant for floating-rate and reset bonds and refinancing costs.</w:t>
      </w:r>
    </w:p>
    <w:p>
      <w:pPr>
        <w:keepNext/>
        <w:pBdr>
          <w:bottom w:val="single" w:sz="8" w:color="12355B" w:space="4"/>
        </w:pBdr>
        <w:tabs>
          <w:tab w:pos="482" w:val="left"/>
        </w:tabs>
        <w:spacing w:before="360" w:after="160"/>
      </w:pPr>
      <w:r>
        <w:rPr>
          <w:b/>
          <w:color w:val="2A78D6"/>
          <w:sz w:val="18"/>
        </w:rPr>
        <w:t>08</w:t>
        <w:tab/>
      </w:r>
      <w:r>
        <w:rPr>
          <w:b/>
          <w:color w:val="12355B"/>
          <w:sz w:val="28"/>
        </w:rPr>
        <w:t>In the press</w:t>
      </w:r>
    </w:p>
    <w:p>
      <w:pPr>
        <w:tabs>
          <w:tab w:pos="255" w:val="left"/>
        </w:tabs>
        <w:spacing w:before="0" w:after="80"/>
        <w:ind w:left="255" w:hanging="255"/>
      </w:pPr>
      <w:r>
        <w:rPr>
          <w:b/>
          <w:color w:val="2A78D6"/>
          <w:sz w:val="20"/>
        </w:rPr>
        <w:t>▪</w:t>
        <w:tab/>
      </w:r>
      <w:r>
        <w:rPr>
          <w:b/>
        </w:rPr>
        <w:t>Green bond and tender:</w:t>
      </w:r>
      <w:r>
        <w:rPr>
          <w:b w:val="0"/>
        </w:rPr>
        <w:t xml:space="preserve"> on 2026-10-19 the group announced its first European Green Bond (EuGB) issue and a tender offer for the notes due 2027-07-14; on 2026-10-20/21 the press reported the EUR 300m 5-year bond was priced at a 4.500% coupon</w:t>
      </w:r>
      <w:hyperlink r:id="rId40">
        <w:r>
          <w:rPr>
            <w:color w:val="2A78D6"/>
            <w:vertAlign w:val="superscript"/>
            <w:sz w:val="17"/>
          </w:rPr>
          <w:t xml:space="preserve">34</w:t>
        </w:r>
      </w:hyperlink>
      <w:r>
        <w:rPr>
          <w:color w:val="2A78D6"/>
          <w:vertAlign w:val="superscript"/>
        </w:rPr>
        <w:t>,</w:t>
      </w:r>
      <w:hyperlink r:id="rId41">
        <w:r>
          <w:rPr>
            <w:color w:val="2A78D6"/>
            <w:vertAlign w:val="superscript"/>
            <w:sz w:val="17"/>
          </w:rPr>
          <w:t xml:space="preserve">35</w:t>
        </w:r>
      </w:hyperlink>
      <w:r>
        <w:rPr>
          <w:b w:val="0"/>
        </w:rPr>
        <w:t>.</w:t>
      </w:r>
    </w:p>
    <w:p>
      <w:pPr>
        <w:tabs>
          <w:tab w:pos="255" w:val="left"/>
        </w:tabs>
        <w:spacing w:before="0" w:after="80"/>
        <w:ind w:left="255" w:hanging="255"/>
      </w:pPr>
      <w:r>
        <w:rPr>
          <w:b/>
          <w:color w:val="2A78D6"/>
          <w:sz w:val="20"/>
        </w:rPr>
        <w:t>▪</w:t>
        <w:tab/>
      </w:r>
      <w:r>
        <w:rPr>
          <w:b/>
        </w:rPr>
        <w:t>Offshore wind:</w:t>
      </w:r>
      <w:r>
        <w:rPr>
          <w:b w:val="0"/>
        </w:rPr>
        <w:t xml:space="preserve"> on 2026-10-22 the press widely reported that the group proposes to postpone the Baltic offshore wind project (Curonian Nord) as costs rose 27% (a project of about EUR 3bn)</w:t>
      </w:r>
      <w:hyperlink r:id="rId42">
        <w:r>
          <w:rPr>
            <w:color w:val="2A78D6"/>
            <w:vertAlign w:val="superscript"/>
            <w:sz w:val="17"/>
          </w:rPr>
          <w:t xml:space="preserve">36</w:t>
        </w:r>
      </w:hyperlink>
      <w:r>
        <w:rPr>
          <w:b w:val="0"/>
        </w:rPr>
        <w:t>.</w:t>
      </w:r>
    </w:p>
    <w:p>
      <w:pPr>
        <w:tabs>
          <w:tab w:pos="255" w:val="left"/>
        </w:tabs>
        <w:spacing w:before="0" w:after="80"/>
        <w:ind w:left="255" w:hanging="255"/>
      </w:pPr>
      <w:r>
        <w:rPr>
          <w:b/>
          <w:color w:val="2A78D6"/>
          <w:sz w:val="20"/>
        </w:rPr>
        <w:t>▪</w:t>
        <w:tab/>
      </w:r>
      <w:r>
        <w:rPr>
          <w:b/>
        </w:rPr>
        <w:t>Management:</w:t>
      </w:r>
      <w:r>
        <w:rPr>
          <w:b w:val="0"/>
        </w:rPr>
        <w:t xml:space="preserve"> the final candidate for Chair of the Management Board and CEO was approved (2026-09-23); a board member for Energy Markets and Commerce was selected (2026-10-21)</w:t>
      </w:r>
      <w:hyperlink r:id="rId43">
        <w:r>
          <w:rPr>
            <w:color w:val="2A78D6"/>
            <w:vertAlign w:val="superscript"/>
            <w:sz w:val="17"/>
          </w:rPr>
          <w:t xml:space="preserve">37</w:t>
        </w:r>
      </w:hyperlink>
      <w:r>
        <w:rPr>
          <w:color w:val="2A78D6"/>
          <w:vertAlign w:val="superscript"/>
        </w:rPr>
        <w:t>,</w:t>
      </w:r>
      <w:hyperlink r:id="rId44">
        <w:r>
          <w:rPr>
            <w:color w:val="2A78D6"/>
            <w:vertAlign w:val="superscript"/>
            <w:sz w:val="17"/>
          </w:rPr>
          <w:t xml:space="preserve">38</w:t>
        </w:r>
      </w:hyperlink>
      <w:r>
        <w:rPr>
          <w:b w:val="0"/>
        </w:rPr>
        <w:t>.</w:t>
      </w:r>
    </w:p>
    <w:p>
      <w:pPr>
        <w:spacing w:before="40" w:after="60"/>
      </w:pPr>
      <w:r>
        <w:rPr>
          <w:b w:val="0"/>
          <w:color w:val="667085"/>
          <w:sz w:val="18"/>
        </w:rPr>
        <w:t>Automatic news scan (Google News, EN, EE, LT, LV), 2026-08-01 – 2026-10-30: 131 articles.</w:t>
      </w:r>
    </w:p>
    <w:tbl>
      <w:tblPr>
        <w:tblW w:w="9639" w:type="dxa"/>
        <w:tblBorders>
          <w:top w:val="nil"/>
          <w:left w:val="nil"/>
          <w:bottom w:val="nil"/>
          <w:right w:val="nil"/>
          <w:insideH w:val="nil"/>
          <w:insideV w:val="nil"/>
        </w:tblBorders>
        <w:tblLayout w:type="fixed"/>
        <w:tblCellMar>
          <w:top w:w="80" w:type="dxa"/>
          <w:left w:w="0" w:type="dxa"/>
          <w:bottom w:w="80" w:type="dxa"/>
          <w:right w:w="120" w:type="dxa"/>
        </w:tblCellMar>
        <w:tblLook w:firstColumn="1" w:firstRow="1" w:lastColumn="0" w:lastRow="0" w:noHBand="0" w:noVBand="1" w:val="04A0"/>
      </w:tblPr>
      <w:tblGrid>
        <w:gridCol w:w="1020"/>
        <w:gridCol w:w="1360"/>
        <w:gridCol w:w="7257"/>
      </w:tblGrid>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5">
              <w:r>
                <w:rPr>
                  <w:color w:val="1B2430"/>
                  <w:sz w:val="18"/>
                </w:rPr>
                <w:t xml:space="preserve">„Ignitis grupė“ anksčiau laiko išpirko daugiau nei pusę 300 mln. eurų pirmos obligacijų emisijos</w:t>
              </w:r>
            </w:hyperlink>
            <w:r>
              <w:rPr>
                <w:b w:val="0"/>
                <w:color w:val="667085"/>
                <w:sz w:val="15"/>
              </w:rPr>
              <w:t xml:space="preserve">   15min.lt  ·  3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2026-10-23</w:t>
            </w:r>
          </w:p>
        </w:tc>
        <w:tc>
          <w:tcPr>
            <w:tcW w:type="dxa" w:w="1361"/>
            <w:tcBorders>
              <w:top w:val="nil"/>
              <w:left w:val="nil"/>
              <w:bottom w:val="single" w:sz="4" w:color="E3E8EE" w:space="0"/>
              <w:right w:val="nil"/>
            </w:tcBorders>
          </w:tcPr>
          <w:p>
            <w:pPr>
              <w:spacing w:before="0" w:after="0"/>
            </w:pPr>
            <w:r>
              <w:rPr>
                <w:b/>
                <w:color w:val="1F5FA8"/>
                <w:sz w:val="14"/>
                <w:shd w:val="clear" w:color="auto" w:fill="E6F0FB"/>
              </w:rPr>
              <w:t xml:space="preserve"> BONDS </w:t>
            </w:r>
          </w:p>
        </w:tc>
        <w:tc>
          <w:tcPr>
            <w:tcW w:type="dxa" w:w="7257"/>
            <w:tcBorders>
              <w:top w:val="nil"/>
              <w:left w:val="nil"/>
              <w:bottom w:val="single" w:sz="4" w:color="E3E8EE" w:space="0"/>
              <w:right w:val="nil"/>
            </w:tcBorders>
          </w:tcPr>
          <w:p>
            <w:pPr>
              <w:spacing w:before="0" w:after="0"/>
            </w:pPr>
            <w:hyperlink r:id="rId46">
              <w:r>
                <w:rPr>
                  <w:color w:val="1B2430"/>
                  <w:sz w:val="18"/>
                </w:rPr>
                <w:t xml:space="preserve">Ignitis Group Prices €300 Million European Green Bond</w:t>
              </w:r>
            </w:hyperlink>
            <w:r>
              <w:rPr>
                <w:b w:val="0"/>
                <w:color w:val="667085"/>
                <w:sz w:val="15"/>
              </w:rPr>
              <w:t xml:space="preserve">   Serrari Group  ·  14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2026-10-18</w:t>
            </w:r>
          </w:p>
        </w:tc>
        <w:tc>
          <w:tcPr>
            <w:tcW w:type="dxa" w:w="1361"/>
            <w:tcBorders>
              <w:top w:val="nil"/>
              <w:left w:val="nil"/>
              <w:bottom w:val="single" w:sz="4" w:color="E3E8EE" w:space="0"/>
              <w:right w:val="nil"/>
            </w:tcBorders>
          </w:tcPr>
          <w:p>
            <w:pPr>
              <w:spacing w:before="0" w:after="0"/>
            </w:pPr>
            <w:r>
              <w:rPr>
                <w:b/>
                <w:color w:val="1B7F3B"/>
                <w:sz w:val="14"/>
                <w:shd w:val="clear" w:color="auto" w:fill="E3F3E8"/>
              </w:rPr>
              <w:t xml:space="preserve"> DIVIDENDS </w:t>
            </w:r>
          </w:p>
        </w:tc>
        <w:tc>
          <w:tcPr>
            <w:tcW w:type="dxa" w:w="7257"/>
            <w:tcBorders>
              <w:top w:val="nil"/>
              <w:left w:val="nil"/>
              <w:bottom w:val="single" w:sz="4" w:color="E3E8EE" w:space="0"/>
              <w:right w:val="nil"/>
            </w:tcBorders>
          </w:tcPr>
          <w:p>
            <w:pPr>
              <w:spacing w:before="0" w:after="0"/>
            </w:pPr>
            <w:hyperlink r:id="rId47">
              <w:r>
                <w:rPr>
                  <w:color w:val="1B2430"/>
                  <w:sz w:val="18"/>
                </w:rPr>
                <w:t xml:space="preserve">Ignitis Grupe names CEO candidate and pays dividend per Ignitis Grupe stock</w:t>
              </w:r>
            </w:hyperlink>
            <w:r>
              <w:rPr>
                <w:b w:val="0"/>
                <w:color w:val="667085"/>
                <w:sz w:val="15"/>
              </w:rPr>
              <w:t xml:space="preserve">   AD HOC NEWS</w:t>
            </w:r>
          </w:p>
        </w:tc>
      </w:tr>
      <w:tr>
        <w:tc>
          <w:tcPr>
            <w:tcW w:type="dxa" w:w="1020"/>
            <w:tcBorders>
              <w:top w:val="nil"/>
              <w:left w:val="nil"/>
              <w:bottom w:val="single" w:sz="4" w:color="E3E8EE" w:space="0"/>
              <w:right w:val="nil"/>
            </w:tcBorders>
          </w:tcPr>
          <w:p>
            <w:pPr>
              <w:spacing w:before="0" w:after="0"/>
            </w:pPr>
            <w:r>
              <w:rPr>
                <w:b w:val="0"/>
                <w:color w:val="1B2430"/>
                <w:sz w:val="17"/>
              </w:rPr>
              <w:t>2026-10-21</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4">
              <w:r>
                <w:rPr>
                  <w:color w:val="1B2430"/>
                  <w:sz w:val="18"/>
                </w:rPr>
                <w:t xml:space="preserve">Selection announced for a member of the Management Board of “Ignitis grupė” responsible for Energy Markets and Commerce</w:t>
              </w:r>
            </w:hyperlink>
            <w:r>
              <w:rPr>
                <w:b w:val="0"/>
                <w:color w:val="667085"/>
                <w:sz w:val="15"/>
              </w:rPr>
              <w:t xml:space="preserve">   Yahoo Finance UK  ·  2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2026-09-24</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MANAGEMENT </w:t>
            </w:r>
          </w:p>
        </w:tc>
        <w:tc>
          <w:tcPr>
            <w:tcW w:type="dxa" w:w="7257"/>
            <w:tcBorders>
              <w:top w:val="nil"/>
              <w:left w:val="nil"/>
              <w:bottom w:val="single" w:sz="4" w:color="E3E8EE" w:space="0"/>
              <w:right w:val="nil"/>
            </w:tcBorders>
          </w:tcPr>
          <w:p>
            <w:pPr>
              <w:spacing w:before="0" w:after="0"/>
            </w:pPr>
            <w:hyperlink r:id="rId43">
              <w:r>
                <w:rPr>
                  <w:color w:val="1B2430"/>
                  <w:sz w:val="18"/>
                </w:rPr>
                <w:t xml:space="preserve">Approved the final candidate for the position of Chair of the Management Board and Chief Executive Officer of AB “Ignitis grupė”</w:t>
              </w:r>
            </w:hyperlink>
            <w:r>
              <w:rPr>
                <w:b w:val="0"/>
                <w:color w:val="667085"/>
                <w:sz w:val="15"/>
              </w:rPr>
              <w:t xml:space="preserve">   Yahoo Finance UK  ·  11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2026-10-28</w:t>
            </w:r>
          </w:p>
        </w:tc>
        <w:tc>
          <w:tcPr>
            <w:tcW w:type="dxa" w:w="1361"/>
            <w:tcBorders>
              <w:top w:val="nil"/>
              <w:left w:val="nil"/>
              <w:bottom w:val="single" w:sz="4" w:color="E3E8EE" w:space="0"/>
              <w:right w:val="nil"/>
            </w:tcBorders>
          </w:tcPr>
          <w:p>
            <w:pPr>
              <w:spacing w:before="0" w:after="0"/>
            </w:pPr>
            <w:r>
              <w:rPr>
                <w:b/>
                <w:color w:val="1F4E79"/>
                <w:sz w:val="14"/>
                <w:shd w:val="clear" w:color="auto" w:fill="EAF1F8"/>
              </w:rPr>
              <w:t xml:space="preserve"> RESULTS </w:t>
            </w:r>
          </w:p>
        </w:tc>
        <w:tc>
          <w:tcPr>
            <w:tcW w:type="dxa" w:w="7257"/>
            <w:tcBorders>
              <w:top w:val="nil"/>
              <w:left w:val="nil"/>
              <w:bottom w:val="single" w:sz="4" w:color="E3E8EE" w:space="0"/>
              <w:right w:val="nil"/>
            </w:tcBorders>
          </w:tcPr>
          <w:p>
            <w:pPr>
              <w:spacing w:before="0" w:after="0"/>
            </w:pPr>
            <w:hyperlink r:id="rId48">
              <w:r>
                <w:rPr>
                  <w:color w:val="1B2430"/>
                  <w:sz w:val="18"/>
                </w:rPr>
                <w:t xml:space="preserve">Ignitis Group to present 9M 2026 results on 11 November</w:t>
              </w:r>
            </w:hyperlink>
            <w:r>
              <w:rPr>
                <w:b w:val="0"/>
                <w:color w:val="667085"/>
                <w:sz w:val="15"/>
              </w:rPr>
              <w:t xml:space="preserve">   The Manila Times  ·  1 more similar articles</w:t>
            </w:r>
          </w:p>
        </w:tc>
      </w:tr>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49">
              <w:r>
                <w:rPr>
                  <w:color w:val="1B2430"/>
                  <w:sz w:val="18"/>
                </w:rPr>
                <w:t xml:space="preserve">Elektromobilių vairuotojams „Ignitis“ programėlė parinks pigesnį įkrovimo laiką – sutaupys ne kiekvienas</w:t>
              </w:r>
            </w:hyperlink>
            <w:r>
              <w:rPr>
                <w:b w:val="0"/>
                <w:color w:val="667085"/>
                <w:sz w:val="15"/>
              </w:rPr>
              <w:t xml:space="preserve">   Reidas Official</w:t>
            </w:r>
          </w:p>
        </w:tc>
      </w:tr>
      <w:tr>
        <w:tc>
          <w:tcPr>
            <w:tcW w:type="dxa" w:w="1020"/>
            <w:tcBorders>
              <w:top w:val="nil"/>
              <w:left w:val="nil"/>
              <w:bottom w:val="single" w:sz="4" w:color="E3E8EE" w:space="0"/>
              <w:right w:val="nil"/>
            </w:tcBorders>
          </w:tcPr>
          <w:p>
            <w:pPr>
              <w:spacing w:before="0" w:after="0"/>
            </w:pPr>
            <w:r>
              <w:rPr>
                <w:b w:val="0"/>
                <w:color w:val="1B2430"/>
                <w:sz w:val="17"/>
              </w:rPr>
              <w:t>2026-10-30</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0">
              <w:r>
                <w:rPr>
                  <w:color w:val="1B2430"/>
                  <w:sz w:val="18"/>
                </w:rPr>
                <w:t xml:space="preserve">“AKROPOLE” iepirkšanās un izklaides centros Rīgā būs pieejami 40 jauni “Ignitis ON” elektroauto uzlādes punkti</w:t>
              </w:r>
            </w:hyperlink>
            <w:r>
              <w:rPr>
                <w:b w:val="0"/>
                <w:color w:val="667085"/>
                <w:sz w:val="15"/>
              </w:rPr>
              <w:t xml:space="preserve">   Kursors.lv</w:t>
            </w:r>
          </w:p>
        </w:tc>
      </w:tr>
      <w:tr>
        <w:tc>
          <w:tcPr>
            <w:tcW w:type="dxa" w:w="1020"/>
            <w:tcBorders>
              <w:top w:val="nil"/>
              <w:left w:val="nil"/>
              <w:bottom w:val="single" w:sz="4" w:color="E3E8EE" w:space="0"/>
              <w:right w:val="nil"/>
            </w:tcBorders>
          </w:tcPr>
          <w:p>
            <w:pPr>
              <w:spacing w:before="0" w:after="0"/>
            </w:pPr>
            <w:r>
              <w:rPr>
                <w:b w:val="0"/>
                <w:color w:val="1B2430"/>
                <w:sz w:val="17"/>
              </w:rPr>
              <w:t>2026-10-29</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1">
              <w:r>
                <w:rPr>
                  <w:color w:val="1B2430"/>
                  <w:sz w:val="18"/>
                </w:rPr>
                <w:t xml:space="preserve">'AKROPOLE' shopping centres to open 40 high-power 'Ignitis ON' electric vehicle charging points</w:t>
              </w:r>
            </w:hyperlink>
            <w:r>
              <w:rPr>
                <w:b w:val="0"/>
                <w:color w:val="667085"/>
                <w:sz w:val="15"/>
              </w:rPr>
              <w:t xml:space="preserve">   The Baltic Times</w:t>
            </w:r>
          </w:p>
        </w:tc>
      </w:tr>
      <w:tr>
        <w:tc>
          <w:tcPr>
            <w:tcW w:type="dxa" w:w="1020"/>
            <w:tcBorders>
              <w:top w:val="nil"/>
              <w:left w:val="nil"/>
              <w:bottom w:val="single" w:sz="4" w:color="E3E8EE" w:space="0"/>
              <w:right w:val="nil"/>
            </w:tcBorders>
          </w:tcPr>
          <w:p>
            <w:pPr>
              <w:spacing w:before="0" w:after="0"/>
            </w:pPr>
            <w:r>
              <w:rPr>
                <w:b w:val="0"/>
                <w:color w:val="1B2430"/>
                <w:sz w:val="17"/>
              </w:rPr>
              <w:t>2026-10-29</w:t>
            </w:r>
          </w:p>
        </w:tc>
        <w:tc>
          <w:tcPr>
            <w:tcW w:type="dxa" w:w="1361"/>
            <w:tcBorders>
              <w:top w:val="nil"/>
              <w:left w:val="nil"/>
              <w:bottom w:val="single" w:sz="4" w:color="E3E8EE" w:space="0"/>
              <w:right w:val="nil"/>
            </w:tcBorders>
          </w:tcPr>
          <w:p>
            <w:pPr>
              <w:spacing w:before="0" w:after="0"/>
            </w:pPr>
            <w:r>
              <w:rPr>
                <w:b/>
                <w:color w:val="5F6B7A"/>
                <w:sz w:val="14"/>
                <w:shd w:val="clear" w:color="auto" w:fill="F0F2F5"/>
              </w:rPr>
              <w:t xml:space="preserve"> OTHER </w:t>
            </w:r>
          </w:p>
        </w:tc>
        <w:tc>
          <w:tcPr>
            <w:tcW w:type="dxa" w:w="7257"/>
            <w:tcBorders>
              <w:top w:val="nil"/>
              <w:left w:val="nil"/>
              <w:bottom w:val="single" w:sz="4" w:color="E3E8EE" w:space="0"/>
              <w:right w:val="nil"/>
            </w:tcBorders>
          </w:tcPr>
          <w:p>
            <w:pPr>
              <w:spacing w:before="0" w:after="0"/>
            </w:pPr>
            <w:hyperlink r:id="rId52">
              <w:r>
                <w:rPr>
                  <w:color w:val="1B2430"/>
                  <w:sz w:val="18"/>
                </w:rPr>
                <w:t xml:space="preserve">Ignitis seeks delay to 700MW Curonian Nord</w:t>
              </w:r>
            </w:hyperlink>
            <w:r>
              <w:rPr>
                <w:b w:val="0"/>
                <w:color w:val="667085"/>
                <w:sz w:val="15"/>
              </w:rPr>
              <w:t xml:space="preserve">   reNEWS  ·  6 more similar articles</w:t>
            </w:r>
          </w:p>
        </w:tc>
      </w:tr>
    </w:tbl>
    <w:p>
      <w:pPr>
        <w:spacing w:before="0" w:after="40"/>
      </w:pPr>
    </w:p>
    <w:p>
      <w:pPr>
        <w:keepNext/>
        <w:pBdr>
          <w:bottom w:val="single" w:sz="8" w:color="12355B" w:space="4"/>
        </w:pBdr>
        <w:tabs>
          <w:tab w:pos="482" w:val="left"/>
        </w:tabs>
        <w:spacing w:before="360" w:after="160"/>
      </w:pPr>
      <w:r>
        <w:rPr>
          <w:b/>
          <w:color w:val="2A78D6"/>
          <w:sz w:val="18"/>
        </w:rPr>
        <w:t>09</w:t>
        <w:tab/>
      </w:r>
      <w:r>
        <w:rPr>
          <w:b/>
          <w:color w:val="12355B"/>
          <w:sz w:val="28"/>
        </w:rPr>
        <w:t>ESG report</w:t>
      </w:r>
    </w:p>
    <w:p>
      <w:pPr>
        <w:keepNext/>
        <w:shd w:val="clear" w:color="auto" w:fill="EEF3F8"/>
        <w:spacing w:before="200" w:after="80"/>
        <w:ind w:left="85"/>
      </w:pPr>
      <w:r>
        <w:rPr>
          <w:b/>
          <w:caps/>
          <w:color w:val="12355B"/>
          <w:sz w:val="19"/>
        </w:rPr>
        <w:t>Exclusionary screening (companies)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involved in excluded sectors: controversial and nuclear weapons, tobacco, gambling and restricted sectors in fossil fuel</w:t>
            </w:r>
          </w:p>
          <w:p>
            <w:pPr>
              <w:tabs>
                <w:tab w:pos="198" w:val="left"/>
              </w:tabs>
              <w:spacing w:before="0" w:after="20"/>
              <w:ind w:left="198" w:hanging="198"/>
            </w:pPr>
            <w:r>
              <w:rPr>
                <w:b w:val="0"/>
                <w:color w:val="667085"/>
                <w:sz w:val="18"/>
              </w:rPr>
              <w:t>•</w:t>
              <w:tab/>
            </w:r>
            <w:r>
              <w:rPr>
                <w:b w:val="0"/>
                <w:color w:val="333333"/>
                <w:sz w:val="18"/>
              </w:rPr>
              <w:t>No weapons, tobacco or gambling.</w:t>
            </w:r>
          </w:p>
          <w:p>
            <w:pPr>
              <w:tabs>
                <w:tab w:pos="198" w:val="left"/>
              </w:tabs>
              <w:spacing w:before="0" w:after="20"/>
              <w:ind w:left="198" w:hanging="198"/>
            </w:pPr>
            <w:r>
              <w:rPr>
                <w:b w:val="0"/>
                <w:color w:val="667085"/>
                <w:sz w:val="18"/>
              </w:rPr>
              <w:t>•</w:t>
              <w:tab/>
            </w:r>
            <w:r>
              <w:rPr>
                <w:b w:val="0"/>
                <w:color w:val="333333"/>
                <w:sz w:val="18"/>
              </w:rPr>
              <w:t>No coal generation and no oil &amp; gas exploration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Owns the gas-fired Elektrėnai complex (reserve capacity) and supplies gas - not restricted by the SEB fossil fuel policy (restricts coal &gt;5% of revenue and new exploration).</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red flag/signal related to controversies based on UN Global Compact, OECD Guidelines for Multinational Enterprises or any other relevant principles/standards</w:t>
            </w:r>
          </w:p>
          <w:p>
            <w:pPr>
              <w:tabs>
                <w:tab w:pos="198" w:val="left"/>
              </w:tabs>
              <w:spacing w:before="0" w:after="20"/>
              <w:ind w:left="198" w:hanging="198"/>
            </w:pPr>
            <w:r>
              <w:rPr>
                <w:b w:val="0"/>
                <w:color w:val="667085"/>
                <w:sz w:val="18"/>
              </w:rPr>
              <w:t>•</w:t>
              <w:tab/>
            </w:r>
            <w:r>
              <w:rPr>
                <w:b w:val="0"/>
                <w:color w:val="333333"/>
                <w:sz w:val="18"/>
              </w:rPr>
              <w:t>No red flags (UNGC / OECD breaches) found in public sources and the news scan (2026-10-22).</w:t>
            </w:r>
          </w:p>
          <w:p>
            <w:pPr>
              <w:tabs>
                <w:tab w:pos="198" w:val="left"/>
              </w:tabs>
              <w:spacing w:before="0" w:after="20"/>
              <w:ind w:left="198" w:hanging="198"/>
            </w:pPr>
            <w:r>
              <w:rPr>
                <w:b w:val="0"/>
                <w:color w:val="667085"/>
                <w:sz w:val="18"/>
              </w:rPr>
              <w:t>•</w:t>
              <w:tab/>
            </w:r>
            <w:r>
              <w:rPr>
                <w:b w:val="0"/>
                <w:color w:val="333333"/>
                <w:sz w:val="18"/>
              </w:rPr>
              <w:t>Ignitis states it upholds the UN Global Compact principles</w:t>
            </w:r>
            <w:hyperlink r:id="rId29">
              <w:r>
                <w:rPr>
                  <w:color w:val="2A78D6"/>
                  <w:vertAlign w:val="superscript"/>
                  <w:sz w:val="15"/>
                </w:rPr>
                <w:t xml:space="preserve">17</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not in the list of sanctions (add a screenshot)</w:t>
            </w:r>
          </w:p>
          <w:p>
            <w:pPr>
              <w:tabs>
                <w:tab w:pos="198" w:val="left"/>
              </w:tabs>
              <w:spacing w:before="0" w:after="20"/>
              <w:ind w:left="198" w:hanging="198"/>
            </w:pPr>
            <w:r>
              <w:rPr>
                <w:b w:val="0"/>
                <w:color w:val="667085"/>
                <w:sz w:val="18"/>
              </w:rPr>
              <w:t>•</w:t>
              <w:tab/>
            </w:r>
            <w:r>
              <w:rPr>
                <w:b w:val="0"/>
                <w:color w:val="333333"/>
                <w:sz w:val="18"/>
              </w:rPr>
              <w:t>Not found on the EU, UN, US OFAC consolidated sanctions lists (automatic check 2026-10-30).</w:t>
            </w:r>
          </w:p>
          <w:p>
            <w:pPr>
              <w:spacing w:before="40" w:after="0"/>
            </w:pPr>
            <w:r>
              <w:rPr>
                <w:b/>
                <w:color w:val="333333"/>
                <w:sz w:val="18"/>
              </w:rPr>
              <w:t>Manual check</w:t>
            </w:r>
          </w:p>
          <w:p>
            <w:pPr>
              <w:tabs>
                <w:tab w:pos="198" w:val="left"/>
              </w:tabs>
              <w:spacing w:before="0" w:after="20"/>
              <w:ind w:left="198" w:hanging="198"/>
            </w:pPr>
            <w:r>
              <w:rPr>
                <w:b w:val="0"/>
                <w:color w:val="667085"/>
                <w:sz w:val="18"/>
              </w:rPr>
              <w:t>•</w:t>
              <w:tab/>
            </w:r>
            <w:r>
              <w:rPr>
                <w:b w:val="0"/>
                <w:color w:val="333333"/>
                <w:sz w:val="18"/>
              </w:rPr>
              <w:t>OFAC sanctions search</w:t>
            </w:r>
            <w:hyperlink r:id="rId53">
              <w:r>
                <w:rPr>
                  <w:color w:val="2A78D6"/>
                  <w:vertAlign w:val="superscript"/>
                  <w:sz w:val="15"/>
                </w:rPr>
                <w:t xml:space="preserve">39</w:t>
              </w:r>
            </w:hyperlink>
          </w:p>
          <w:p>
            <w:pPr>
              <w:tabs>
                <w:tab w:pos="198" w:val="left"/>
              </w:tabs>
              <w:spacing w:before="0" w:after="20"/>
              <w:ind w:left="198" w:hanging="198"/>
            </w:pPr>
            <w:r>
              <w:rPr>
                <w:b w:val="0"/>
                <w:color w:val="667085"/>
                <w:sz w:val="18"/>
              </w:rPr>
              <w:t>•</w:t>
              <w:tab/>
            </w:r>
            <w:r>
              <w:rPr>
                <w:b w:val="0"/>
                <w:color w:val="333333"/>
                <w:sz w:val="18"/>
              </w:rPr>
              <w:t>EU Sanctions Map</w:t>
            </w:r>
            <w:hyperlink r:id="rId54">
              <w:r>
                <w:rPr>
                  <w:color w:val="2A78D6"/>
                  <w:vertAlign w:val="superscript"/>
                  <w:sz w:val="15"/>
                </w:rPr>
                <w:t xml:space="preserve">40</w:t>
              </w:r>
            </w:hyperlink>
          </w:p>
          <w:p>
            <w:pPr>
              <w:tabs>
                <w:tab w:pos="198" w:val="left"/>
              </w:tabs>
              <w:spacing w:before="0" w:after="20"/>
              <w:ind w:left="198" w:hanging="198"/>
            </w:pPr>
            <w:r>
              <w:rPr>
                <w:b w:val="0"/>
                <w:color w:val="667085"/>
                <w:sz w:val="18"/>
              </w:rPr>
              <w:t>•</w:t>
              <w:tab/>
            </w:r>
            <w:r>
              <w:rPr>
                <w:b w:val="0"/>
                <w:color w:val="333333"/>
                <w:sz w:val="18"/>
              </w:rPr>
              <w:t>SEB eNameChecker (internal SEB system).</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issues were not identified from adverse media checks (add a screenshot)</w:t>
            </w:r>
          </w:p>
          <w:p>
            <w:pPr>
              <w:tabs>
                <w:tab w:pos="198" w:val="left"/>
              </w:tabs>
              <w:spacing w:before="0" w:after="20"/>
              <w:ind w:left="198" w:hanging="198"/>
            </w:pPr>
            <w:r>
              <w:rPr>
                <w:b w:val="0"/>
                <w:color w:val="667085"/>
                <w:sz w:val="18"/>
              </w:rPr>
              <w:t>•</w:t>
              <w:tab/>
            </w:r>
            <w:r>
              <w:rPr>
                <w:b w:val="0"/>
                <w:color w:val="333333"/>
                <w:sz w:val="18"/>
              </w:rPr>
              <w:t>No adverse news found in the automatic news scan (Lithuanian, Latvian, Estonian and English media, last 30 days, 2026-10-22).</w:t>
            </w:r>
          </w:p>
          <w:p>
            <w:pPr>
              <w:tabs>
                <w:tab w:pos="198" w:val="left"/>
              </w:tabs>
              <w:spacing w:before="0" w:after="20"/>
              <w:ind w:left="198" w:hanging="198"/>
            </w:pPr>
            <w:r>
              <w:rPr>
                <w:b w:val="0"/>
                <w:color w:val="667085"/>
                <w:sz w:val="18"/>
              </w:rPr>
              <w:t>•</w:t>
              <w:tab/>
            </w:r>
            <w:r>
              <w:rPr>
                <w:b w:val="0"/>
                <w:color w:val="333333"/>
                <w:sz w:val="18"/>
              </w:rPr>
              <w:t>News summary 2026-08-01 – 2026-10-30: 131 articles, 0 with an adverse keyword in the headline (details in the section "In the press").</w:t>
            </w:r>
          </w:p>
        </w:tc>
      </w:tr>
    </w:tbl>
    <w:p>
      <w:pPr>
        <w:spacing w:before="120" w:after="40"/>
      </w:pPr>
      <w:r>
        <w:rPr>
          <w:i/>
          <w:color w:val="333333"/>
          <w:sz w:val="18"/>
        </w:rPr>
        <w:t>In case any red flags, risks, unclarities were identified then additional checks (sanctions screening and adverse media checks) on the company’s Ultimate Beneficial Owners and/or senior management shall be performed.</w:t>
      </w:r>
    </w:p>
    <w:p>
      <w:pPr>
        <w:spacing w:before="120" w:after="40"/>
      </w:pPr>
      <w:r>
        <w:rPr>
          <w:b/>
          <w:sz w:val="19"/>
        </w:rPr>
        <w:t xml:space="preserve">Additional comments: </w:t>
      </w:r>
    </w:p>
    <w:p>
      <w:pPr>
        <w:keepNext/>
        <w:shd w:val="clear" w:color="auto" w:fill="EEF3F8"/>
        <w:spacing w:before="200" w:after="80"/>
        <w:ind w:left="85"/>
      </w:pPr>
      <w:r>
        <w:rPr>
          <w:b/>
          <w:caps/>
          <w:color w:val="12355B"/>
          <w:sz w:val="19"/>
        </w:rPr>
        <w:t>ESG integration and positive screening (positive answers imply higher allocation)</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is promoting environmental or social characteristics (activities, ESG policy, good ESG rating, etc)</w:t>
            </w:r>
          </w:p>
          <w:p>
            <w:pPr>
              <w:tabs>
                <w:tab w:pos="198" w:val="left"/>
              </w:tabs>
              <w:spacing w:before="0" w:after="20"/>
              <w:ind w:left="198" w:hanging="198"/>
            </w:pPr>
            <w:r>
              <w:rPr>
                <w:b w:val="0"/>
                <w:color w:val="667085"/>
                <w:sz w:val="18"/>
              </w:rPr>
              <w:t>•</w:t>
              <w:tab/>
            </w:r>
            <w:r>
              <w:rPr>
                <w:b w:val="0"/>
                <w:color w:val="333333"/>
                <w:sz w:val="18"/>
              </w:rPr>
              <w:t>Core activities are green generation (2.1 GW installed, 0.6 GW under construction) and power networks</w:t>
            </w:r>
            <w:hyperlink r:id="rId21">
              <w:r>
                <w:rPr>
                  <w:color w:val="2A78D6"/>
                  <w:vertAlign w:val="superscript"/>
                  <w:sz w:val="15"/>
                </w:rPr>
                <w:t xml:space="preserve">9</w:t>
              </w:r>
            </w:hyperlink>
          </w:p>
          <w:p>
            <w:pPr>
              <w:tabs>
                <w:tab w:pos="198" w:val="left"/>
              </w:tabs>
              <w:spacing w:before="0" w:after="20"/>
              <w:ind w:left="198" w:hanging="198"/>
            </w:pPr>
            <w:r>
              <w:rPr>
                <w:b w:val="0"/>
                <w:color w:val="667085"/>
                <w:sz w:val="18"/>
              </w:rPr>
              <w:t>•</w:t>
              <w:tab/>
            </w:r>
            <w:r>
              <w:rPr>
                <w:b w:val="0"/>
                <w:color w:val="333333"/>
                <w:sz w:val="18"/>
              </w:rPr>
              <w:t>Green bonds and a new EU Green Bond Standard (EuGB) bond</w:t>
            </w:r>
            <w:hyperlink r:id="rId20">
              <w:r>
                <w:rPr>
                  <w:color w:val="2A78D6"/>
                  <w:vertAlign w:val="superscript"/>
                  <w:sz w:val="15"/>
                </w:rPr>
                <w:t xml:space="preserve">8</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activities of the company or it’s strategy is aligned with the taxonomy and/or Paris agreement targets (e.g. net zero commitment)</w:t>
            </w:r>
          </w:p>
          <w:p>
            <w:pPr>
              <w:tabs>
                <w:tab w:pos="198" w:val="left"/>
              </w:tabs>
              <w:spacing w:before="0" w:after="20"/>
              <w:ind w:left="198" w:hanging="198"/>
            </w:pPr>
            <w:r>
              <w:rPr>
                <w:b w:val="0"/>
                <w:color w:val="667085"/>
                <w:sz w:val="18"/>
              </w:rPr>
              <w:t>•</w:t>
              <w:tab/>
            </w:r>
            <w:r>
              <w:rPr>
                <w:b w:val="0"/>
                <w:color w:val="333333"/>
                <w:sz w:val="18"/>
              </w:rPr>
              <w:t>EU Taxonomy-aligned capex 84.7% in 2025</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SBTi-validated targets in line with 1.5°C</w:t>
            </w:r>
          </w:p>
          <w:p>
            <w:pPr>
              <w:tabs>
                <w:tab w:pos="198" w:val="left"/>
              </w:tabs>
              <w:spacing w:before="0" w:after="20"/>
              <w:ind w:left="198" w:hanging="198"/>
            </w:pPr>
            <w:r>
              <w:rPr>
                <w:b w:val="0"/>
                <w:color w:val="667085"/>
                <w:sz w:val="18"/>
              </w:rPr>
              <w:t>•</w:t>
              <w:tab/>
            </w:r>
            <w:r>
              <w:rPr>
                <w:b w:val="0"/>
                <w:color w:val="333333"/>
                <w:sz w:val="18"/>
              </w:rPr>
              <w:t>Net zero by 2050 or sooner</w:t>
            </w:r>
            <w:hyperlink r:id="rId55">
              <w:r>
                <w:rPr>
                  <w:color w:val="2A78D6"/>
                  <w:vertAlign w:val="superscript"/>
                  <w:sz w:val="15"/>
                </w:rPr>
                <w:t xml:space="preserve">41</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does not have yellow flag/signal related to controversies based on UN Global Compact or any other relevant principles/standards</w:t>
            </w:r>
          </w:p>
          <w:p>
            <w:pPr>
              <w:spacing w:before="40" w:after="0"/>
            </w:pPr>
            <w:r>
              <w:rPr>
                <w:b/>
                <w:color w:val="333333"/>
                <w:sz w:val="18"/>
              </w:rPr>
              <w:t>No material yellow flag</w:t>
            </w:r>
          </w:p>
          <w:p>
            <w:pPr>
              <w:tabs>
                <w:tab w:pos="198" w:val="left"/>
              </w:tabs>
              <w:spacing w:before="0" w:after="20"/>
              <w:ind w:left="198" w:hanging="198"/>
            </w:pPr>
            <w:r>
              <w:rPr>
                <w:b w:val="0"/>
                <w:color w:val="667085"/>
                <w:sz w:val="18"/>
              </w:rPr>
              <w:t>•</w:t>
              <w:tab/>
            </w:r>
            <w:r>
              <w:rPr>
                <w:b w:val="0"/>
                <w:color w:val="333333"/>
                <w:sz w:val="18"/>
              </w:rPr>
              <w:t>No UN Global Compact related controversies found.</w:t>
            </w:r>
          </w:p>
          <w:p>
            <w:pPr>
              <w:spacing w:before="40" w:after="0"/>
            </w:pPr>
            <w:r>
              <w:rPr>
                <w:b/>
                <w:color w:val="333333"/>
                <w:sz w:val="18"/>
              </w:rPr>
              <w:t>To note</w:t>
            </w:r>
          </w:p>
          <w:p>
            <w:pPr>
              <w:tabs>
                <w:tab w:pos="198" w:val="left"/>
              </w:tabs>
              <w:spacing w:before="0" w:after="20"/>
              <w:ind w:left="198" w:hanging="198"/>
            </w:pPr>
            <w:r>
              <w:rPr>
                <w:b w:val="0"/>
                <w:color w:val="667085"/>
                <w:sz w:val="18"/>
              </w:rPr>
              <w:t>•</w:t>
              <w:tab/>
            </w:r>
            <w:r>
              <w:rPr>
                <w:b w:val="0"/>
                <w:color w:val="333333"/>
                <w:sz w:val="18"/>
              </w:rPr>
              <w:t>A contractor employee was fatally injured in February 2026</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Scope 1 emissions rose 54.7% in 2025 due to higher gas generation</w:t>
            </w:r>
            <w:hyperlink r:id="rId29">
              <w:r>
                <w:rPr>
                  <w:color w:val="2A78D6"/>
                  <w:vertAlign w:val="superscript"/>
                  <w:sz w:val="15"/>
                </w:rPr>
                <w:t xml:space="preserve">17</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Safety is managed under ISO 45001</w:t>
            </w:r>
            <w:hyperlink r:id="rId56">
              <w:r>
                <w:rPr>
                  <w:color w:val="2A78D6"/>
                  <w:vertAlign w:val="superscript"/>
                  <w:sz w:val="15"/>
                </w:rPr>
                <w:t xml:space="preserve">42</w:t>
              </w:r>
            </w:hyperlink>
            <w:r>
              <w:rPr>
                <w:b w:val="0"/>
                <w:color w:val="333333"/>
                <w:sz w:val="18"/>
              </w:rPr>
              <w:t>.</w:t>
            </w:r>
          </w:p>
        </w:tc>
      </w:tr>
    </w:tbl>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company fulfills the expectations from SEB thematic and sector policies</w:t>
            </w:r>
          </w:p>
          <w:p>
            <w:pPr>
              <w:spacing w:before="40" w:after="0"/>
            </w:pPr>
            <w:r>
              <w:rPr>
                <w:b/>
                <w:color w:val="333333"/>
                <w:sz w:val="18"/>
              </w:rPr>
              <w:t>Applicable</w:t>
            </w:r>
          </w:p>
          <w:p>
            <w:pPr>
              <w:tabs>
                <w:tab w:pos="198" w:val="left"/>
              </w:tabs>
              <w:spacing w:before="0" w:after="20"/>
              <w:ind w:left="198" w:hanging="198"/>
            </w:pPr>
            <w:r>
              <w:rPr>
                <w:b w:val="0"/>
                <w:color w:val="667085"/>
                <w:sz w:val="18"/>
              </w:rPr>
              <w:t>•</w:t>
              <w:tab/>
            </w:r>
            <w:r>
              <w:rPr>
                <w:b w:val="0"/>
                <w:color w:val="333333"/>
                <w:sz w:val="18"/>
              </w:rPr>
              <w:t>The SEB Investments policy</w:t>
            </w:r>
            <w:hyperlink r:id="rId57">
              <w:r>
                <w:rPr>
                  <w:color w:val="2A78D6"/>
                  <w:vertAlign w:val="superscript"/>
                  <w:sz w:val="15"/>
                </w:rPr>
                <w:t xml:space="preserve">43</w:t>
              </w:r>
            </w:hyperlink>
            <w:r>
              <w:rPr>
                <w:b w:val="0"/>
                <w:color w:val="333333"/>
                <w:sz w:val="18"/>
              </w:rPr>
              <w:t>, the Electricity &amp; Renewable Energy policy, since green generation and networks make up more than 15% of revenue</w:t>
            </w:r>
            <w:hyperlink r:id="rId58">
              <w:r>
                <w:rPr>
                  <w:color w:val="2A78D6"/>
                  <w:vertAlign w:val="superscript"/>
                  <w:sz w:val="15"/>
                </w:rPr>
                <w:t xml:space="preserve">44</w:t>
              </w:r>
            </w:hyperlink>
            <w:r>
              <w:rPr>
                <w:b w:val="0"/>
                <w:color w:val="333333"/>
                <w:sz w:val="18"/>
              </w:rPr>
              <w:t>, and the Fossil Fuels policy for gas distribution, gas supply and the Elektrėnai reserve plants.</w:t>
            </w:r>
          </w:p>
          <w:p>
            <w:pPr>
              <w:tabs>
                <w:tab w:pos="198" w:val="left"/>
              </w:tabs>
              <w:spacing w:before="0" w:after="20"/>
              <w:ind w:left="198" w:hanging="198"/>
            </w:pPr>
            <w:r>
              <w:rPr>
                <w:b w:val="0"/>
                <w:color w:val="667085"/>
                <w:sz w:val="18"/>
              </w:rPr>
              <w:t>•</w:t>
              <w:tab/>
            </w:r>
            <w:r>
              <w:rPr>
                <w:b w:val="0"/>
                <w:color w:val="333333"/>
                <w:sz w:val="18"/>
              </w:rPr>
              <w:t>The gas revenue share was not found</w:t>
            </w:r>
            <w:hyperlink r:id="rId59">
              <w:r>
                <w:rPr>
                  <w:color w:val="2A78D6"/>
                  <w:vertAlign w:val="superscript"/>
                  <w:sz w:val="15"/>
                </w:rPr>
                <w:t xml:space="preserve">45</w:t>
              </w:r>
            </w:hyperlink>
            <w:r>
              <w:rPr>
                <w:color w:val="2A78D6"/>
                <w:vertAlign w:val="superscript"/>
              </w:rPr>
              <w:t>,</w:t>
            </w:r>
            <w:hyperlink r:id="rId60">
              <w:r>
                <w:rPr>
                  <w:color w:val="2A78D6"/>
                  <w:vertAlign w:val="superscript"/>
                  <w:sz w:val="15"/>
                </w:rPr>
                <w:t xml:space="preserve">46</w:t>
              </w:r>
            </w:hyperlink>
            <w:r>
              <w:rPr>
                <w:b w:val="0"/>
                <w:color w:val="333333"/>
                <w:sz w:val="18"/>
              </w:rPr>
              <w:t>.</w:t>
            </w:r>
          </w:p>
          <w:p>
            <w:pPr>
              <w:spacing w:before="40" w:after="0"/>
            </w:pPr>
            <w:r>
              <w:rPr>
                <w:b/>
                <w:color w:val="333333"/>
                <w:sz w:val="18"/>
              </w:rPr>
              <w:t>Requirements met</w:t>
            </w:r>
          </w:p>
          <w:p>
            <w:pPr>
              <w:tabs>
                <w:tab w:pos="198" w:val="left"/>
              </w:tabs>
              <w:spacing w:before="0" w:after="20"/>
              <w:ind w:left="198" w:hanging="198"/>
            </w:pPr>
            <w:r>
              <w:rPr>
                <w:b w:val="0"/>
                <w:color w:val="667085"/>
                <w:sz w:val="18"/>
              </w:rPr>
              <w:t>•</w:t>
              <w:tab/>
            </w:r>
            <w:r>
              <w:rPr>
                <w:b w:val="0"/>
                <w:color w:val="333333"/>
                <w:sz w:val="18"/>
              </w:rPr>
              <w:t>Scope 1-3 emissions disclosed (4.49m t CO2e in 2025) and SBTi-validated 1.5°C targets</w:t>
            </w:r>
            <w:hyperlink r:id="rId61">
              <w:r>
                <w:rPr>
                  <w:color w:val="2A78D6"/>
                  <w:vertAlign w:val="superscript"/>
                  <w:sz w:val="15"/>
                </w:rPr>
                <w:t xml:space="preserve">47</w:t>
              </w:r>
            </w:hyperlink>
          </w:p>
          <w:p>
            <w:pPr>
              <w:tabs>
                <w:tab w:pos="198" w:val="left"/>
              </w:tabs>
              <w:spacing w:before="0" w:after="20"/>
              <w:ind w:left="198" w:hanging="198"/>
            </w:pPr>
            <w:r>
              <w:rPr>
                <w:b w:val="0"/>
                <w:color w:val="667085"/>
                <w:sz w:val="18"/>
              </w:rPr>
              <w:t>•</w:t>
              <w:tab/>
            </w:r>
            <w:r>
              <w:rPr>
                <w:b w:val="0"/>
                <w:color w:val="333333"/>
                <w:sz w:val="18"/>
              </w:rPr>
              <w:t>ISO 14001 environmental management at ESO, Ignitis gamyba, Ignitis and the Vilnius and Kaunas CHPs</w:t>
            </w:r>
            <w:hyperlink r:id="rId56">
              <w:r>
                <w:rPr>
                  <w:color w:val="2A78D6"/>
                  <w:vertAlign w:val="superscript"/>
                  <w:sz w:val="15"/>
                </w:rPr>
                <w:t xml:space="preserve">42</w:t>
              </w:r>
            </w:hyperlink>
            <w:r>
              <w:rPr>
                <w:b w:val="0"/>
                <w:color w:val="333333"/>
                <w:sz w:val="18"/>
              </w:rPr>
              <w:t>.</w:t>
            </w:r>
          </w:p>
          <w:p>
            <w:pPr>
              <w:tabs>
                <w:tab w:pos="198" w:val="left"/>
              </w:tabs>
              <w:spacing w:before="0" w:after="20"/>
              <w:ind w:left="198" w:hanging="198"/>
            </w:pPr>
            <w:r>
              <w:rPr>
                <w:b w:val="0"/>
                <w:color w:val="667085"/>
                <w:sz w:val="18"/>
              </w:rPr>
              <w:t>•</w:t>
              <w:tab/>
            </w:r>
            <w:r>
              <w:rPr>
                <w:b w:val="0"/>
                <w:color w:val="333333"/>
                <w:sz w:val="18"/>
              </w:rPr>
              <w:t>No coal, peat or oil &amp; gas extraction</w:t>
            </w:r>
            <w:hyperlink r:id="rId29">
              <w:r>
                <w:rPr>
                  <w:color w:val="2A78D6"/>
                  <w:vertAlign w:val="superscript"/>
                  <w:sz w:val="15"/>
                </w:rPr>
                <w:t xml:space="preserve">17</w:t>
              </w:r>
            </w:hyperlink>
            <w:r>
              <w:rPr>
                <w:b w:val="0"/>
                <w:color w:val="333333"/>
                <w:sz w:val="18"/>
              </w:rPr>
              <w:t>.</w:t>
            </w:r>
          </w:p>
          <w:p>
            <w:pPr>
              <w:spacing w:before="40" w:after="0"/>
            </w:pPr>
            <w:r>
              <w:rPr>
                <w:b/>
                <w:color w:val="333333"/>
                <w:sz w:val="18"/>
              </w:rPr>
              <w:t>Expectations met</w:t>
            </w:r>
          </w:p>
          <w:p>
            <w:pPr>
              <w:tabs>
                <w:tab w:pos="198" w:val="left"/>
              </w:tabs>
              <w:spacing w:before="0" w:after="20"/>
              <w:ind w:left="198" w:hanging="198"/>
            </w:pPr>
            <w:r>
              <w:rPr>
                <w:b w:val="0"/>
                <w:color w:val="667085"/>
                <w:sz w:val="18"/>
              </w:rPr>
              <w:t>•</w:t>
              <w:tab/>
            </w:r>
            <w:r>
              <w:rPr>
                <w:b w:val="0"/>
                <w:color w:val="333333"/>
                <w:sz w:val="18"/>
              </w:rPr>
              <w:t>ISO 45001 safety management, no fatal accidents in 2025</w:t>
            </w:r>
            <w:hyperlink r:id="rId62">
              <w:r>
                <w:rPr>
                  <w:color w:val="2A78D6"/>
                  <w:vertAlign w:val="superscript"/>
                  <w:sz w:val="15"/>
                </w:rPr>
                <w:t xml:space="preserve">48</w:t>
              </w:r>
            </w:hyperlink>
            <w:r>
              <w:rPr>
                <w:color w:val="2A78D6"/>
                <w:vertAlign w:val="superscript"/>
              </w:rPr>
              <w:t>,</w:t>
            </w:r>
            <w:hyperlink r:id="rId56">
              <w:r>
                <w:rPr>
                  <w:color w:val="2A78D6"/>
                  <w:vertAlign w:val="superscript"/>
                  <w:sz w:val="15"/>
                </w:rPr>
                <w:t xml:space="preserve">42</w:t>
              </w:r>
            </w:hyperlink>
          </w:p>
          <w:p>
            <w:pPr>
              <w:tabs>
                <w:tab w:pos="198" w:val="left"/>
              </w:tabs>
              <w:spacing w:before="0" w:after="20"/>
              <w:ind w:left="198" w:hanging="198"/>
            </w:pPr>
            <w:r>
              <w:rPr>
                <w:b w:val="0"/>
                <w:color w:val="667085"/>
                <w:sz w:val="18"/>
              </w:rPr>
              <w:t>•</w:t>
              <w:tab/>
            </w:r>
            <w:r>
              <w:rPr>
                <w:b w:val="0"/>
                <w:color w:val="333333"/>
                <w:sz w:val="18"/>
              </w:rPr>
              <w:t>Trust line for anonymous reports</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Anti-corruption policy and ISO 37001 certification</w:t>
            </w:r>
            <w:hyperlink r:id="rId56">
              <w:r>
                <w:rPr>
                  <w:color w:val="2A78D6"/>
                  <w:vertAlign w:val="superscript"/>
                  <w:sz w:val="15"/>
                </w:rPr>
                <w:t xml:space="preserve">42</w:t>
              </w:r>
            </w:hyperlink>
            <w:r>
              <w:rPr>
                <w:color w:val="2A78D6"/>
                <w:vertAlign w:val="superscript"/>
              </w:rPr>
              <w:t>,</w:t>
            </w:r>
            <w:hyperlink r:id="rId63">
              <w:r>
                <w:rPr>
                  <w:color w:val="2A78D6"/>
                  <w:vertAlign w:val="superscript"/>
                  <w:sz w:val="15"/>
                </w:rPr>
                <w:t xml:space="preserve">49</w:t>
              </w:r>
            </w:hyperlink>
          </w:p>
          <w:p>
            <w:pPr>
              <w:tabs>
                <w:tab w:pos="198" w:val="left"/>
              </w:tabs>
              <w:spacing w:before="0" w:after="20"/>
              <w:ind w:left="198" w:hanging="198"/>
            </w:pPr>
            <w:r>
              <w:rPr>
                <w:b w:val="0"/>
                <w:color w:val="667085"/>
                <w:sz w:val="18"/>
              </w:rPr>
              <w:t>•</w:t>
              <w:tab/>
            </w:r>
            <w:r>
              <w:rPr>
                <w:b w:val="0"/>
                <w:color w:val="333333"/>
                <w:sz w:val="18"/>
              </w:rPr>
              <w:t>UN Global Compact</w:t>
            </w:r>
            <w:hyperlink r:id="rId61">
              <w:r>
                <w:rPr>
                  <w:color w:val="2A78D6"/>
                  <w:vertAlign w:val="superscript"/>
                  <w:sz w:val="15"/>
                </w:rPr>
                <w:t xml:space="preserve">50</w:t>
              </w:r>
            </w:hyperlink>
          </w:p>
          <w:p>
            <w:pPr>
              <w:tabs>
                <w:tab w:pos="198" w:val="left"/>
              </w:tabs>
              <w:spacing w:before="0" w:after="20"/>
              <w:ind w:left="198" w:hanging="198"/>
            </w:pPr>
            <w:r>
              <w:rPr>
                <w:b w:val="0"/>
                <w:color w:val="667085"/>
                <w:sz w:val="18"/>
              </w:rPr>
              <w:t>•</w:t>
              <w:tab/>
            </w:r>
            <w:r>
              <w:rPr>
                <w:b w:val="0"/>
                <w:color w:val="333333"/>
                <w:sz w:val="18"/>
              </w:rPr>
              <w:t>Integrated annual report with climate data</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Biodiversity monitoring and mitigation measures</w:t>
            </w:r>
            <w:hyperlink r:id="rId64">
              <w:r>
                <w:rPr>
                  <w:color w:val="2A78D6"/>
                  <w:vertAlign w:val="superscript"/>
                  <w:sz w:val="15"/>
                </w:rPr>
                <w:t xml:space="preserve">51</w:t>
              </w:r>
            </w:hyperlink>
            <w:r>
              <w:rPr>
                <w:b w:val="0"/>
                <w:color w:val="333333"/>
                <w:sz w:val="18"/>
              </w:rPr>
              <w:t>.</w:t>
            </w:r>
          </w:p>
          <w:p>
            <w:pPr>
              <w:spacing w:before="40" w:after="0"/>
            </w:pPr>
            <w:r>
              <w:rPr>
                <w:b/>
                <w:color w:val="333333"/>
                <w:sz w:val="18"/>
              </w:rPr>
              <w:t>Could be improved</w:t>
            </w:r>
          </w:p>
          <w:p>
            <w:pPr>
              <w:tabs>
                <w:tab w:pos="198" w:val="left"/>
              </w:tabs>
              <w:spacing w:before="0" w:after="20"/>
              <w:ind w:left="198" w:hanging="198"/>
            </w:pPr>
            <w:r>
              <w:rPr>
                <w:b w:val="0"/>
                <w:color w:val="667085"/>
                <w:sz w:val="18"/>
              </w:rPr>
              <w:t>•</w:t>
              <w:tab/>
            </w:r>
            <w:r>
              <w:rPr>
                <w:b w:val="0"/>
                <w:color w:val="333333"/>
                <w:sz w:val="18"/>
              </w:rPr>
              <w:t>No named human rights due diligence process or quantified biodiversity targets are published</w:t>
            </w:r>
            <w:hyperlink r:id="rId58">
              <w:r>
                <w:rPr>
                  <w:color w:val="2A78D6"/>
                  <w:vertAlign w:val="superscript"/>
                  <w:sz w:val="15"/>
                </w:rPr>
                <w:t xml:space="preserve">52</w:t>
              </w:r>
            </w:hyperlink>
            <w:r>
              <w:rPr>
                <w:b w:val="0"/>
                <w:color w:val="333333"/>
                <w:sz w:val="18"/>
              </w:rPr>
              <w:t>.</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Engagement</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9AA5B1"/>
                <w:sz w:val="24"/>
              </w:rPr>
              <w:t>☐</w:t>
            </w:r>
          </w:p>
        </w:tc>
        <w:tc>
          <w:tcPr>
            <w:tcW w:type="dxa" w:w="9298"/>
            <w:tcBorders>
              <w:top w:val="nil"/>
              <w:left w:val="nil"/>
              <w:bottom w:val="single" w:sz="4" w:color="E3E8EE" w:space="0"/>
              <w:right w:val="nil"/>
            </w:tcBorders>
          </w:tcPr>
          <w:p>
            <w:pPr>
              <w:spacing w:before="0" w:after="40"/>
            </w:pPr>
            <w:r>
              <w:rPr>
                <w:b/>
                <w:color w:val="1B2430"/>
                <w:sz w:val="19"/>
              </w:rPr>
              <w:t>Is there a need for pro-active engagement with the company?</w:t>
            </w:r>
          </w:p>
          <w:p>
            <w:pPr>
              <w:tabs>
                <w:tab w:pos="198" w:val="left"/>
              </w:tabs>
              <w:spacing w:before="0" w:after="20"/>
              <w:ind w:left="198" w:hanging="198"/>
            </w:pPr>
            <w:r>
              <w:rPr>
                <w:b w:val="0"/>
                <w:color w:val="667085"/>
                <w:sz w:val="18"/>
              </w:rPr>
              <w:t>•</w:t>
              <w:tab/>
            </w:r>
            <w:r>
              <w:rPr>
                <w:b w:val="0"/>
                <w:color w:val="333333"/>
                <w:sz w:val="18"/>
              </w:rPr>
              <w:t>No need: the company meets SEB policy expectations and has no red flags.</w:t>
            </w:r>
          </w:p>
        </w:tc>
      </w:tr>
    </w:tbl>
    <w:p>
      <w:pPr>
        <w:spacing w:before="120" w:after="40"/>
      </w:pPr>
      <w:r>
        <w:rPr>
          <w:b/>
          <w:sz w:val="19"/>
        </w:rPr>
        <w:t xml:space="preserve">Additional comments: </w:t>
      </w:r>
    </w:p>
    <w:p>
      <w:pPr>
        <w:keepNext/>
        <w:shd w:val="clear" w:color="auto" w:fill="EEF3F8"/>
        <w:spacing w:before="200" w:after="80"/>
        <w:ind w:left="85"/>
      </w:pPr>
      <w:r>
        <w:rPr>
          <w:b/>
          <w:caps/>
          <w:color w:val="12355B"/>
          <w:sz w:val="19"/>
        </w:rPr>
        <w:t>Indicators</w:t>
      </w:r>
    </w:p>
    <w:tbl>
      <w:tblPr>
        <w:tblW w:w="9639" w:type="dxa"/>
        <w:tblBorders>
          <w:top w:val="nil"/>
          <w:left w:val="nil"/>
          <w:bottom w:val="nil"/>
          <w:right w:val="nil"/>
          <w:insideH w:val="nil"/>
          <w:insideV w:val="nil"/>
        </w:tblBorders>
        <w:tblLayout w:type="fixed"/>
        <w:tblCellMar>
          <w:top w:w="90" w:type="dxa"/>
          <w:left w:w="0" w:type="dxa"/>
          <w:bottom w:w="110" w:type="dxa"/>
          <w:right w:w="0" w:type="dxa"/>
        </w:tblCellMar>
        <w:tblLook w:firstColumn="1" w:firstRow="1" w:lastColumn="0" w:lastRow="0" w:noHBand="0" w:noVBand="1" w:val="04A0"/>
      </w:tblPr>
      <w:tblGrid>
        <w:gridCol w:w="340"/>
        <w:gridCol w:w="9298"/>
      </w:tblGrid>
      <w:tr>
        <w:tc>
          <w:tcPr>
            <w:tcW w:type="dxa" w:w="340"/>
            <w:tcBorders>
              <w:top w:val="nil"/>
              <w:left w:val="nil"/>
              <w:bottom w:val="single" w:sz="4" w:color="E3E8EE" w:space="0"/>
              <w:right w:val="nil"/>
            </w:tcBorders>
          </w:tcPr>
          <w:p>
            <w:pPr>
              <w:spacing w:before="0" w:after="0"/>
            </w:pPr>
            <w:r>
              <w:rPr>
                <w:rFonts w:ascii="Segoe UI Symbol" w:hAnsi="Segoe UI Symbol"/>
                <w:b w:val="0"/>
                <w:color w:val="1B7F3B"/>
                <w:sz w:val="24"/>
              </w:rPr>
              <w:t>☑</w:t>
            </w:r>
          </w:p>
        </w:tc>
        <w:tc>
          <w:tcPr>
            <w:tcW w:type="dxa" w:w="9298"/>
            <w:tcBorders>
              <w:top w:val="nil"/>
              <w:left w:val="nil"/>
              <w:bottom w:val="single" w:sz="4" w:color="E3E8EE" w:space="0"/>
              <w:right w:val="nil"/>
            </w:tcBorders>
          </w:tcPr>
          <w:p>
            <w:pPr>
              <w:spacing w:before="0" w:after="40"/>
            </w:pPr>
            <w:r>
              <w:rPr>
                <w:b/>
                <w:color w:val="1B2430"/>
                <w:sz w:val="19"/>
              </w:rPr>
              <w:t>Yes, the indicators of the company support the targets of sustainability and PAI indicators followed by the Fund</w:t>
            </w:r>
          </w:p>
          <w:p>
            <w:pPr>
              <w:tabs>
                <w:tab w:pos="198" w:val="left"/>
              </w:tabs>
              <w:spacing w:before="0" w:after="20"/>
              <w:ind w:left="198" w:hanging="198"/>
            </w:pPr>
            <w:r>
              <w:rPr>
                <w:b w:val="0"/>
                <w:color w:val="667085"/>
                <w:sz w:val="18"/>
              </w:rPr>
              <w:t>•</w:t>
              <w:tab/>
            </w:r>
            <w:r>
              <w:rPr>
                <w:b w:val="0"/>
                <w:color w:val="333333"/>
                <w:sz w:val="18"/>
              </w:rPr>
              <w:t>Total GHG emissions 4.49m t CO2e in 2025 (+10.1%)</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Carbon intensity (Scope 1+2) 214 g CO2e/kWh in Q1 2026 (−12.8%)</w:t>
            </w:r>
            <w:hyperlink r:id="rId36">
              <w:r>
                <w:rPr>
                  <w:color w:val="2A78D6"/>
                  <w:vertAlign w:val="superscript"/>
                  <w:sz w:val="15"/>
                </w:rPr>
                <w:t xml:space="preserve">24</w:t>
              </w:r>
            </w:hyperlink>
          </w:p>
          <w:p>
            <w:pPr>
              <w:tabs>
                <w:tab w:pos="198" w:val="left"/>
              </w:tabs>
              <w:spacing w:before="0" w:after="20"/>
              <w:ind w:left="198" w:hanging="198"/>
            </w:pPr>
            <w:r>
              <w:rPr>
                <w:b w:val="0"/>
                <w:color w:val="667085"/>
                <w:sz w:val="18"/>
              </w:rPr>
              <w:t>•</w:t>
              <w:tab/>
            </w:r>
            <w:r>
              <w:rPr>
                <w:b w:val="0"/>
                <w:color w:val="333333"/>
                <w:sz w:val="18"/>
              </w:rPr>
              <w:t>Taxonomy-aligned capex 84.7%</w:t>
            </w:r>
            <w:hyperlink r:id="rId29">
              <w:r>
                <w:rPr>
                  <w:color w:val="2A78D6"/>
                  <w:vertAlign w:val="superscript"/>
                  <w:sz w:val="15"/>
                </w:rPr>
                <w:t xml:space="preserve">17</w:t>
              </w:r>
            </w:hyperlink>
          </w:p>
          <w:p>
            <w:pPr>
              <w:tabs>
                <w:tab w:pos="198" w:val="left"/>
              </w:tabs>
              <w:spacing w:before="0" w:after="20"/>
              <w:ind w:left="198" w:hanging="198"/>
            </w:pPr>
            <w:r>
              <w:rPr>
                <w:b w:val="0"/>
                <w:color w:val="667085"/>
                <w:sz w:val="18"/>
              </w:rPr>
              <w:t>•</w:t>
              <w:tab/>
            </w:r>
            <w:r>
              <w:rPr>
                <w:b w:val="0"/>
                <w:color w:val="333333"/>
                <w:sz w:val="18"/>
              </w:rPr>
              <w:t>SBTi-validated 1.5°C targets</w:t>
            </w:r>
            <w:hyperlink r:id="rId65">
              <w:r>
                <w:rPr>
                  <w:color w:val="2A78D6"/>
                  <w:vertAlign w:val="superscript"/>
                  <w:sz w:val="15"/>
                </w:rPr>
                <w:t xml:space="preserve">53</w:t>
              </w:r>
            </w:hyperlink>
            <w:r>
              <w:rPr>
                <w:b w:val="0"/>
                <w:color w:val="333333"/>
                <w:sz w:val="18"/>
              </w:rPr>
              <w:t>.</w:t>
            </w:r>
          </w:p>
        </w:tc>
      </w:tr>
    </w:tbl>
    <w:p>
      <w:pPr>
        <w:spacing w:before="120" w:after="40"/>
      </w:pPr>
      <w:r>
        <w:rPr>
          <w:b/>
          <w:sz w:val="19"/>
        </w:rPr>
        <w:t xml:space="preserve">Additional comments: </w:t>
      </w:r>
    </w:p>
    <w:p>
      <w:pPr>
        <w:spacing w:before="120" w:after="40"/>
      </w:pPr>
      <w:r>
        <w:rPr>
          <w:b/>
          <w:sz w:val="19"/>
        </w:rPr>
        <w:t xml:space="preserve">Conclusion: </w:t>
      </w:r>
      <w:r>
        <w:rPr>
          <w:b w:val="0"/>
          <w:sz w:val="19"/>
        </w:rPr>
        <w:t>No exclusions or red flags. Strong green profile: 84.7% Taxonomy-aligned capex and SBTi-validated targets. Worth watching: higher gas generation in 2025 and contractor safety.</w:t>
      </w:r>
    </w:p>
    <w:p>
      <w:pPr>
        <w:spacing w:before="40" w:after="60"/>
      </w:pPr>
      <w:r>
        <w:rPr>
          <w:b w:val="0"/>
          <w:color w:val="667085"/>
          <w:sz w:val="16"/>
        </w:rPr>
        <w:t>SEB policies applied: Policy on Sustainability Considerations in Investments (SEB AB); Electricity &amp; Renewable Energy sector policy; Fossil Fuels sector policy (coal, oil &amp; gas, peat); Environmental Policy on Climate, Nature and Water (thematic); Social and Human Rights Policy (thematic); Governance expectations in sector policies (anti-corruption, tax, reporting)</w:t>
      </w:r>
    </w:p>
    <w:p>
      <w:pPr>
        <w:keepNext/>
        <w:pBdr>
          <w:bottom w:val="single" w:sz="8" w:color="12355B" w:space="4"/>
        </w:pBdr>
        <w:tabs>
          <w:tab w:pos="482" w:val="left"/>
        </w:tabs>
        <w:spacing w:before="360" w:after="160"/>
      </w:pPr>
      <w:r>
        <w:rPr>
          <w:b/>
          <w:color w:val="2A78D6"/>
          <w:sz w:val="18"/>
        </w:rPr>
        <w:t>10</w:t>
        <w:tab/>
      </w:r>
      <w:r>
        <w:rPr>
          <w:b/>
          <w:color w:val="12355B"/>
          <w:sz w:val="28"/>
        </w:rPr>
        <w:t>Sources</w:t>
      </w:r>
    </w:p>
    <w:p>
      <w:pPr>
        <w:tabs>
          <w:tab w:pos="397" w:val="left"/>
        </w:tabs>
        <w:spacing w:before="0" w:after="30"/>
        <w:ind w:left="397" w:hanging="397"/>
      </w:pPr>
      <w:r>
        <w:rPr>
          <w:b w:val="0"/>
          <w:color w:val="667085"/>
          <w:sz w:val="17"/>
        </w:rPr>
        <w:t>1.</w:t>
        <w:tab/>
      </w:r>
      <w:hyperlink r:id="rId12">
        <w:r>
          <w:rPr>
            <w:color w:val="2A78D6"/>
            <w:sz w:val="17"/>
          </w:rPr>
          <w:t xml:space="preserve">Credit ratings page, 2026-10-22</w:t>
        </w:r>
      </w:hyperlink>
    </w:p>
    <w:p>
      <w:pPr>
        <w:tabs>
          <w:tab w:pos="397" w:val="left"/>
        </w:tabs>
        <w:spacing w:before="0" w:after="30"/>
        <w:ind w:left="397" w:hanging="397"/>
      </w:pPr>
      <w:r>
        <w:rPr>
          <w:b w:val="0"/>
          <w:color w:val="667085"/>
          <w:sz w:val="17"/>
        </w:rPr>
        <w:t>2.</w:t>
        <w:tab/>
      </w:r>
      <w:hyperlink r:id="rId13">
        <w:r>
          <w:rPr>
            <w:color w:val="2A78D6"/>
            <w:sz w:val="17"/>
          </w:rPr>
          <w:t xml:space="preserve">Ignitis Group - First six months 2026 interim report, p. 14, 2026-08-12</w:t>
        </w:r>
      </w:hyperlink>
    </w:p>
    <w:p>
      <w:pPr>
        <w:tabs>
          <w:tab w:pos="397" w:val="left"/>
        </w:tabs>
        <w:spacing w:before="0" w:after="30"/>
        <w:ind w:left="397" w:hanging="397"/>
      </w:pPr>
      <w:r>
        <w:rPr>
          <w:b w:val="0"/>
          <w:color w:val="667085"/>
          <w:sz w:val="17"/>
        </w:rPr>
        <w:t>3.</w:t>
        <w:tab/>
      </w:r>
      <w:hyperlink r:id="rId15">
        <w:r>
          <w:rPr>
            <w:color w:val="2A78D6"/>
            <w:sz w:val="17"/>
          </w:rPr>
          <w:t xml:space="preserve">Ignitis Group - First six months 2026 interim report, p. 10, 2026-08-12</w:t>
        </w:r>
      </w:hyperlink>
    </w:p>
    <w:p>
      <w:pPr>
        <w:tabs>
          <w:tab w:pos="397" w:val="left"/>
        </w:tabs>
        <w:spacing w:before="0" w:after="30"/>
        <w:ind w:left="397" w:hanging="397"/>
      </w:pPr>
      <w:r>
        <w:rPr>
          <w:b w:val="0"/>
          <w:color w:val="667085"/>
          <w:sz w:val="17"/>
        </w:rPr>
        <w:t>4.</w:t>
        <w:tab/>
      </w:r>
      <w:hyperlink r:id="rId16">
        <w:r>
          <w:rPr>
            <w:color w:val="2A78D6"/>
            <w:sz w:val="17"/>
          </w:rPr>
          <w:t xml:space="preserve">Press release: 6M 2026 results, 2026-08-12</w:t>
        </w:r>
      </w:hyperlink>
    </w:p>
    <w:p>
      <w:pPr>
        <w:tabs>
          <w:tab w:pos="397" w:val="left"/>
        </w:tabs>
        <w:spacing w:before="0" w:after="30"/>
        <w:ind w:left="397" w:hanging="397"/>
      </w:pPr>
      <w:r>
        <w:rPr>
          <w:b w:val="0"/>
          <w:color w:val="667085"/>
          <w:sz w:val="17"/>
        </w:rPr>
        <w:t>5.</w:t>
        <w:tab/>
      </w:r>
      <w:hyperlink r:id="rId17">
        <w:r>
          <w:rPr>
            <w:color w:val="2A78D6"/>
            <w:sz w:val="17"/>
          </w:rPr>
          <w:t xml:space="preserve">Bonds page (incl. tender offer for XS1646530565), 2026-10-22</w:t>
        </w:r>
      </w:hyperlink>
    </w:p>
    <w:p>
      <w:pPr>
        <w:tabs>
          <w:tab w:pos="397" w:val="left"/>
        </w:tabs>
        <w:spacing w:before="0" w:after="30"/>
        <w:ind w:left="397" w:hanging="397"/>
      </w:pPr>
      <w:r>
        <w:rPr>
          <w:b w:val="0"/>
          <w:color w:val="667085"/>
          <w:sz w:val="17"/>
        </w:rPr>
        <w:t>6.</w:t>
        <w:tab/>
      </w:r>
      <w:hyperlink r:id="rId18">
        <w:r>
          <w:rPr>
            <w:color w:val="2A78D6"/>
            <w:sz w:val="17"/>
          </w:rPr>
          <w:t xml:space="preserve">Ignitis Group - First six months 2026 interim report, p. 24, 2026-08-12</w:t>
        </w:r>
      </w:hyperlink>
    </w:p>
    <w:p>
      <w:pPr>
        <w:tabs>
          <w:tab w:pos="397" w:val="left"/>
        </w:tabs>
        <w:spacing w:before="0" w:after="30"/>
        <w:ind w:left="397" w:hanging="397"/>
      </w:pPr>
      <w:r>
        <w:rPr>
          <w:b w:val="0"/>
          <w:color w:val="667085"/>
          <w:sz w:val="17"/>
        </w:rPr>
        <w:t>7.</w:t>
        <w:tab/>
      </w:r>
      <w:hyperlink r:id="rId19">
        <w:r>
          <w:rPr>
            <w:color w:val="2A78D6"/>
            <w:sz w:val="17"/>
          </w:rPr>
          <w:t xml:space="preserve">Strategic Plan 2026-2029, 2026-05</w:t>
        </w:r>
      </w:hyperlink>
    </w:p>
    <w:p>
      <w:pPr>
        <w:tabs>
          <w:tab w:pos="397" w:val="left"/>
        </w:tabs>
        <w:spacing w:before="0" w:after="30"/>
        <w:ind w:left="397" w:hanging="397"/>
      </w:pPr>
      <w:r>
        <w:rPr>
          <w:b w:val="0"/>
          <w:color w:val="667085"/>
          <w:sz w:val="17"/>
        </w:rPr>
        <w:t>8.</w:t>
        <w:tab/>
      </w:r>
      <w:hyperlink r:id="rId20">
        <w:r>
          <w:rPr>
            <w:color w:val="2A78D6"/>
            <w:sz w:val="17"/>
          </w:rPr>
          <w:t xml:space="preserve">Press release: inaugural EUR 300m 5-year EuGB bonds priced, 2026-10-20</w:t>
        </w:r>
      </w:hyperlink>
    </w:p>
    <w:p>
      <w:pPr>
        <w:tabs>
          <w:tab w:pos="397" w:val="left"/>
        </w:tabs>
        <w:spacing w:before="0" w:after="30"/>
        <w:ind w:left="397" w:hanging="397"/>
      </w:pPr>
      <w:r>
        <w:rPr>
          <w:b w:val="0"/>
          <w:color w:val="667085"/>
          <w:sz w:val="17"/>
        </w:rPr>
        <w:t>9.</w:t>
        <w:tab/>
      </w:r>
      <w:hyperlink r:id="rId21">
        <w:r>
          <w:rPr>
            <w:color w:val="2A78D6"/>
            <w:sz w:val="17"/>
          </w:rPr>
          <w:t xml:space="preserve">Ignitis Group - First six months 2026 interim report, p. 11, 2026-08-12</w:t>
        </w:r>
      </w:hyperlink>
    </w:p>
    <w:p>
      <w:pPr>
        <w:tabs>
          <w:tab w:pos="397" w:val="left"/>
        </w:tabs>
        <w:spacing w:before="0" w:after="30"/>
        <w:ind w:left="397" w:hanging="397"/>
      </w:pPr>
      <w:r>
        <w:rPr>
          <w:b w:val="0"/>
          <w:color w:val="667085"/>
          <w:sz w:val="17"/>
        </w:rPr>
        <w:t>10.</w:t>
        <w:tab/>
      </w:r>
      <w:hyperlink r:id="rId22">
        <w:r>
          <w:rPr>
            <w:color w:val="2A78D6"/>
            <w:sz w:val="17"/>
          </w:rPr>
          <w:t xml:space="preserve">Ignitis Group - First six months 2026 interim report, p. 23, 2026-08-12</w:t>
        </w:r>
      </w:hyperlink>
    </w:p>
    <w:p>
      <w:pPr>
        <w:tabs>
          <w:tab w:pos="397" w:val="left"/>
        </w:tabs>
        <w:spacing w:before="0" w:after="30"/>
        <w:ind w:left="397" w:hanging="397"/>
      </w:pPr>
      <w:r>
        <w:rPr>
          <w:b w:val="0"/>
          <w:color w:val="667085"/>
          <w:sz w:val="17"/>
        </w:rPr>
        <w:t>11.</w:t>
        <w:tab/>
      </w:r>
      <w:hyperlink r:id="rId23">
        <w:r>
          <w:rPr>
            <w:color w:val="2A78D6"/>
            <w:sz w:val="17"/>
          </w:rPr>
          <w:t xml:space="preserve">Integrated Annual Report 2025, p. 14, 2026-02-25</w:t>
        </w:r>
      </w:hyperlink>
    </w:p>
    <w:p>
      <w:pPr>
        <w:tabs>
          <w:tab w:pos="397" w:val="left"/>
        </w:tabs>
        <w:spacing w:before="0" w:after="30"/>
        <w:ind w:left="397" w:hanging="397"/>
      </w:pPr>
      <w:r>
        <w:rPr>
          <w:b w:val="0"/>
          <w:color w:val="667085"/>
          <w:sz w:val="17"/>
        </w:rPr>
        <w:t>12.</w:t>
        <w:tab/>
      </w:r>
      <w:hyperlink r:id="rId24">
        <w:r>
          <w:rPr>
            <w:color w:val="2A78D6"/>
            <w:sz w:val="17"/>
          </w:rPr>
          <w:t xml:space="preserve">Press release: 2025 results, 2026-02-25</w:t>
        </w:r>
      </w:hyperlink>
    </w:p>
    <w:p>
      <w:pPr>
        <w:tabs>
          <w:tab w:pos="397" w:val="left"/>
        </w:tabs>
        <w:spacing w:before="0" w:after="30"/>
        <w:ind w:left="397" w:hanging="397"/>
      </w:pPr>
      <w:r>
        <w:rPr>
          <w:b w:val="0"/>
          <w:color w:val="667085"/>
          <w:sz w:val="17"/>
        </w:rPr>
        <w:t>13.</w:t>
        <w:tab/>
      </w:r>
      <w:hyperlink r:id="rId25">
        <w:r>
          <w:rPr>
            <w:color w:val="2A78D6"/>
            <w:sz w:val="17"/>
          </w:rPr>
          <w:t xml:space="preserve">Ignitis Group - First six months 2026 interim report, p. 29, 2026-08-12</w:t>
        </w:r>
      </w:hyperlink>
    </w:p>
    <w:p>
      <w:pPr>
        <w:tabs>
          <w:tab w:pos="397" w:val="left"/>
        </w:tabs>
        <w:spacing w:before="0" w:after="30"/>
        <w:ind w:left="397" w:hanging="397"/>
      </w:pPr>
      <w:r>
        <w:rPr>
          <w:b w:val="0"/>
          <w:color w:val="667085"/>
          <w:sz w:val="17"/>
        </w:rPr>
        <w:t>14.</w:t>
        <w:tab/>
      </w:r>
      <w:hyperlink r:id="rId26">
        <w:r>
          <w:rPr>
            <w:color w:val="2A78D6"/>
            <w:sz w:val="17"/>
          </w:rPr>
          <w:t xml:space="preserve">Ignitis Group - First six months 2026 interim report, p. 36, 2026-08-12</w:t>
        </w:r>
      </w:hyperlink>
    </w:p>
    <w:p>
      <w:pPr>
        <w:tabs>
          <w:tab w:pos="397" w:val="left"/>
        </w:tabs>
        <w:spacing w:before="0" w:after="30"/>
        <w:ind w:left="397" w:hanging="397"/>
      </w:pPr>
      <w:r>
        <w:rPr>
          <w:b w:val="0"/>
          <w:color w:val="667085"/>
          <w:sz w:val="17"/>
        </w:rPr>
        <w:t>15.</w:t>
        <w:tab/>
      </w:r>
      <w:hyperlink r:id="rId27">
        <w:r>
          <w:rPr>
            <w:color w:val="2A78D6"/>
            <w:sz w:val="17"/>
          </w:rPr>
          <w:t xml:space="preserve">Ignitis Group - First six months 2026 interim report, p. 32, 2026-08-12</w:t>
        </w:r>
      </w:hyperlink>
    </w:p>
    <w:p>
      <w:pPr>
        <w:tabs>
          <w:tab w:pos="397" w:val="left"/>
        </w:tabs>
        <w:spacing w:before="0" w:after="30"/>
        <w:ind w:left="397" w:hanging="397"/>
      </w:pPr>
      <w:r>
        <w:rPr>
          <w:b w:val="0"/>
          <w:color w:val="667085"/>
          <w:sz w:val="17"/>
        </w:rPr>
        <w:t>16.</w:t>
        <w:tab/>
      </w:r>
      <w:hyperlink r:id="rId28">
        <w:r>
          <w:rPr>
            <w:color w:val="2A78D6"/>
            <w:sz w:val="17"/>
          </w:rPr>
          <w:t xml:space="preserve">Ignitis Group - First six months 2026 interim report, p. 33, 2026-08-12</w:t>
        </w:r>
      </w:hyperlink>
    </w:p>
    <w:p>
      <w:pPr>
        <w:tabs>
          <w:tab w:pos="397" w:val="left"/>
        </w:tabs>
        <w:spacing w:before="0" w:after="30"/>
        <w:ind w:left="397" w:hanging="397"/>
      </w:pPr>
      <w:r>
        <w:rPr>
          <w:b w:val="0"/>
          <w:color w:val="667085"/>
          <w:sz w:val="17"/>
        </w:rPr>
        <w:t>17.</w:t>
        <w:tab/>
      </w:r>
      <w:hyperlink r:id="rId29">
        <w:r>
          <w:rPr>
            <w:color w:val="2A78D6"/>
            <w:sz w:val="17"/>
          </w:rPr>
          <w:t xml:space="preserve">Integrated Annual Report 2025, 2026-02-25</w:t>
        </w:r>
      </w:hyperlink>
    </w:p>
    <w:p>
      <w:pPr>
        <w:tabs>
          <w:tab w:pos="397" w:val="left"/>
        </w:tabs>
        <w:spacing w:before="0" w:after="30"/>
        <w:ind w:left="397" w:hanging="397"/>
      </w:pPr>
      <w:r>
        <w:rPr>
          <w:b w:val="0"/>
          <w:color w:val="667085"/>
          <w:sz w:val="17"/>
        </w:rPr>
        <w:t>18.</w:t>
        <w:tab/>
      </w:r>
      <w:hyperlink r:id="rId30">
        <w:r>
          <w:rPr>
            <w:color w:val="2A78D6"/>
            <w:sz w:val="17"/>
          </w:rPr>
          <w:t xml:space="preserve">Integrated Annual Report 2025, p. 11, 2026-02-25</w:t>
        </w:r>
      </w:hyperlink>
    </w:p>
    <w:p>
      <w:pPr>
        <w:tabs>
          <w:tab w:pos="397" w:val="left"/>
        </w:tabs>
        <w:spacing w:before="0" w:after="30"/>
        <w:ind w:left="397" w:hanging="397"/>
      </w:pPr>
      <w:r>
        <w:rPr>
          <w:b w:val="0"/>
          <w:color w:val="667085"/>
          <w:sz w:val="17"/>
        </w:rPr>
        <w:t>19.</w:t>
        <w:tab/>
      </w:r>
      <w:hyperlink r:id="rId31">
        <w:r>
          <w:rPr>
            <w:color w:val="2A78D6"/>
            <w:sz w:val="17"/>
          </w:rPr>
          <w:t xml:space="preserve">Ignitis Group - First six months 2026 interim report, p. 37, 2026-08-12</w:t>
        </w:r>
      </w:hyperlink>
    </w:p>
    <w:p>
      <w:pPr>
        <w:tabs>
          <w:tab w:pos="397" w:val="left"/>
        </w:tabs>
        <w:spacing w:before="0" w:after="30"/>
        <w:ind w:left="397" w:hanging="397"/>
      </w:pPr>
      <w:r>
        <w:rPr>
          <w:b w:val="0"/>
          <w:color w:val="667085"/>
          <w:sz w:val="17"/>
        </w:rPr>
        <w:t>20.</w:t>
        <w:tab/>
      </w:r>
      <w:hyperlink r:id="rId33">
        <w:r>
          <w:rPr>
            <w:color w:val="2A78D6"/>
            <w:sz w:val="17"/>
          </w:rPr>
          <w:t xml:space="preserve">Ignitis Group - First six months 2026 interim report, p. 5, 24, 2026-08-12</w:t>
        </w:r>
      </w:hyperlink>
    </w:p>
    <w:p>
      <w:pPr>
        <w:tabs>
          <w:tab w:pos="397" w:val="left"/>
        </w:tabs>
        <w:spacing w:before="0" w:after="30"/>
        <w:ind w:left="397" w:hanging="397"/>
      </w:pPr>
      <w:r>
        <w:rPr>
          <w:b w:val="0"/>
          <w:color w:val="667085"/>
          <w:sz w:val="17"/>
        </w:rPr>
        <w:t>21.</w:t>
        <w:tab/>
      </w:r>
      <w:hyperlink r:id="rId21">
        <w:r>
          <w:rPr>
            <w:color w:val="2A78D6"/>
            <w:sz w:val="17"/>
          </w:rPr>
          <w:t xml:space="preserve">Ignitis Group - First six months 2026 interim report, p. 11, 17, 2026-08-12</w:t>
        </w:r>
      </w:hyperlink>
    </w:p>
    <w:p>
      <w:pPr>
        <w:tabs>
          <w:tab w:pos="397" w:val="left"/>
        </w:tabs>
        <w:spacing w:before="0" w:after="30"/>
        <w:ind w:left="397" w:hanging="397"/>
      </w:pPr>
      <w:r>
        <w:rPr>
          <w:b w:val="0"/>
          <w:color w:val="667085"/>
          <w:sz w:val="17"/>
        </w:rPr>
        <w:t>22.</w:t>
        <w:tab/>
      </w:r>
      <w:hyperlink r:id="rId34">
        <w:r>
          <w:rPr>
            <w:color w:val="2A78D6"/>
            <w:sz w:val="17"/>
          </w:rPr>
          <w:t xml:space="preserve">Investor presentation 6M 2026 - call transcript, 2026-08-12</w:t>
        </w:r>
      </w:hyperlink>
    </w:p>
    <w:p>
      <w:pPr>
        <w:tabs>
          <w:tab w:pos="397" w:val="left"/>
        </w:tabs>
        <w:spacing w:before="0" w:after="30"/>
        <w:ind w:left="397" w:hanging="397"/>
      </w:pPr>
      <w:r>
        <w:rPr>
          <w:b w:val="0"/>
          <w:color w:val="667085"/>
          <w:sz w:val="17"/>
        </w:rPr>
        <w:t>23.</w:t>
        <w:tab/>
      </w:r>
      <w:hyperlink r:id="rId35">
        <w:r>
          <w:rPr>
            <w:color w:val="2A78D6"/>
            <w:sz w:val="17"/>
          </w:rPr>
          <w:t xml:space="preserve">Ignitis Group - First six months 2026 interim report, p. 6, 9, 2026-08-12</w:t>
        </w:r>
      </w:hyperlink>
    </w:p>
    <w:p>
      <w:pPr>
        <w:tabs>
          <w:tab w:pos="397" w:val="left"/>
        </w:tabs>
        <w:spacing w:before="0" w:after="30"/>
        <w:ind w:left="397" w:hanging="397"/>
      </w:pPr>
      <w:r>
        <w:rPr>
          <w:b w:val="0"/>
          <w:color w:val="667085"/>
          <w:sz w:val="17"/>
        </w:rPr>
        <w:t>24.</w:t>
        <w:tab/>
      </w:r>
      <w:hyperlink r:id="rId36">
        <w:r>
          <w:rPr>
            <w:color w:val="2A78D6"/>
            <w:sz w:val="17"/>
          </w:rPr>
          <w:t xml:space="preserve">First three months 2026 interim report (regulatory notice), 2026-05-13</w:t>
        </w:r>
      </w:hyperlink>
    </w:p>
    <w:p>
      <w:pPr>
        <w:tabs>
          <w:tab w:pos="397" w:val="left"/>
        </w:tabs>
        <w:spacing w:before="0" w:after="30"/>
        <w:ind w:left="397" w:hanging="397"/>
      </w:pPr>
      <w:r>
        <w:rPr>
          <w:b w:val="0"/>
          <w:color w:val="667085"/>
          <w:sz w:val="17"/>
        </w:rPr>
        <w:t>25.</w:t>
        <w:tab/>
      </w:r>
      <w:hyperlink r:id="rId21">
        <w:r>
          <w:rPr>
            <w:color w:val="2A78D6"/>
            <w:sz w:val="17"/>
          </w:rPr>
          <w:t xml:space="preserve">Ignitis Group - First six months 2026 interim report, p. 11, 23, 32, 2026-08-12</w:t>
        </w:r>
      </w:hyperlink>
    </w:p>
    <w:p>
      <w:pPr>
        <w:tabs>
          <w:tab w:pos="397" w:val="left"/>
        </w:tabs>
        <w:spacing w:before="0" w:after="30"/>
        <w:ind w:left="397" w:hanging="397"/>
      </w:pPr>
      <w:r>
        <w:rPr>
          <w:b w:val="0"/>
          <w:color w:val="667085"/>
          <w:sz w:val="17"/>
        </w:rPr>
        <w:t>26.</w:t>
        <w:tab/>
      </w:r>
      <w:hyperlink r:id="rId25">
        <w:r>
          <w:rPr>
            <w:color w:val="2A78D6"/>
            <w:sz w:val="17"/>
          </w:rPr>
          <w:t xml:space="preserve">Ignitis Group - First six months 2026 interim report, p. 29, 5, 2026-08-12</w:t>
        </w:r>
      </w:hyperlink>
    </w:p>
    <w:p>
      <w:pPr>
        <w:tabs>
          <w:tab w:pos="397" w:val="left"/>
        </w:tabs>
        <w:spacing w:before="0" w:after="30"/>
        <w:ind w:left="397" w:hanging="397"/>
      </w:pPr>
      <w:r>
        <w:rPr>
          <w:b w:val="0"/>
          <w:color w:val="667085"/>
          <w:sz w:val="17"/>
        </w:rPr>
        <w:t>27.</w:t>
        <w:tab/>
      </w:r>
      <w:hyperlink r:id="rId33">
        <w:r>
          <w:rPr>
            <w:color w:val="2A78D6"/>
            <w:sz w:val="17"/>
          </w:rPr>
          <w:t xml:space="preserve">Ignitis Group - First six months 2026 interim report, p. 5, 2026-08-12</w:t>
        </w:r>
      </w:hyperlink>
    </w:p>
    <w:p>
      <w:pPr>
        <w:tabs>
          <w:tab w:pos="397" w:val="left"/>
        </w:tabs>
        <w:spacing w:before="0" w:after="30"/>
        <w:ind w:left="397" w:hanging="397"/>
      </w:pPr>
      <w:r>
        <w:rPr>
          <w:b w:val="0"/>
          <w:color w:val="667085"/>
          <w:sz w:val="17"/>
        </w:rPr>
        <w:t>28.</w:t>
        <w:tab/>
      </w:r>
      <w:hyperlink r:id="rId37">
        <w:r>
          <w:rPr>
            <w:color w:val="2A78D6"/>
            <w:sz w:val="17"/>
          </w:rPr>
          <w:t xml:space="preserve">Integrated Annual Report 2025, p. 27-28, 2026-02-25</w:t>
        </w:r>
      </w:hyperlink>
    </w:p>
    <w:p>
      <w:pPr>
        <w:tabs>
          <w:tab w:pos="397" w:val="left"/>
        </w:tabs>
        <w:spacing w:before="0" w:after="30"/>
        <w:ind w:left="397" w:hanging="397"/>
      </w:pPr>
      <w:r>
        <w:rPr>
          <w:b w:val="0"/>
          <w:color w:val="667085"/>
          <w:sz w:val="17"/>
        </w:rPr>
        <w:t>29.</w:t>
        <w:tab/>
      </w:r>
      <w:hyperlink r:id="rId15">
        <w:r>
          <w:rPr>
            <w:color w:val="2A78D6"/>
            <w:sz w:val="17"/>
          </w:rPr>
          <w:t xml:space="preserve">Ignitis Group - First six months 2026 interim report, p. 10, 29, 2026-08-12</w:t>
        </w:r>
      </w:hyperlink>
    </w:p>
    <w:p>
      <w:pPr>
        <w:tabs>
          <w:tab w:pos="397" w:val="left"/>
        </w:tabs>
        <w:spacing w:before="0" w:after="30"/>
        <w:ind w:left="397" w:hanging="397"/>
      </w:pPr>
      <w:r>
        <w:rPr>
          <w:b w:val="0"/>
          <w:color w:val="667085"/>
          <w:sz w:val="17"/>
        </w:rPr>
        <w:t>30.</w:t>
        <w:tab/>
      </w:r>
      <w:hyperlink r:id="rId38">
        <w:r>
          <w:rPr>
            <w:color w:val="2A78D6"/>
            <w:sz w:val="17"/>
          </w:rPr>
          <w:t xml:space="preserve">Ignitis Group - First six months 2026 interim report, p. 17, 2026-08-12</w:t>
        </w:r>
      </w:hyperlink>
    </w:p>
    <w:p>
      <w:pPr>
        <w:tabs>
          <w:tab w:pos="397" w:val="left"/>
        </w:tabs>
        <w:spacing w:before="0" w:after="30"/>
        <w:ind w:left="397" w:hanging="397"/>
      </w:pPr>
      <w:r>
        <w:rPr>
          <w:b w:val="0"/>
          <w:color w:val="667085"/>
          <w:sz w:val="17"/>
        </w:rPr>
        <w:t>31.</w:t>
        <w:tab/>
      </w:r>
      <w:hyperlink r:id="rId33">
        <w:r>
          <w:rPr>
            <w:color w:val="2A78D6"/>
            <w:sz w:val="17"/>
          </w:rPr>
          <w:t xml:space="preserve">Ignitis Group - First six months 2026 interim report, p. 5, 10, 2026-08-12</w:t>
        </w:r>
      </w:hyperlink>
    </w:p>
    <w:p>
      <w:pPr>
        <w:tabs>
          <w:tab w:pos="397" w:val="left"/>
        </w:tabs>
        <w:spacing w:before="0" w:after="30"/>
        <w:ind w:left="397" w:hanging="397"/>
      </w:pPr>
      <w:r>
        <w:rPr>
          <w:b w:val="0"/>
          <w:color w:val="667085"/>
          <w:sz w:val="17"/>
        </w:rPr>
        <w:t>32.</w:t>
        <w:tab/>
      </w:r>
      <w:hyperlink r:id="rId35">
        <w:r>
          <w:rPr>
            <w:color w:val="2A78D6"/>
            <w:sz w:val="17"/>
          </w:rPr>
          <w:t xml:space="preserve">Ignitis Group - First six months 2026 interim report, p. 6, 2026-08-12</w:t>
        </w:r>
      </w:hyperlink>
    </w:p>
    <w:p>
      <w:pPr>
        <w:tabs>
          <w:tab w:pos="397" w:val="left"/>
        </w:tabs>
        <w:spacing w:before="0" w:after="30"/>
        <w:ind w:left="397" w:hanging="397"/>
      </w:pPr>
      <w:r>
        <w:rPr>
          <w:b w:val="0"/>
          <w:color w:val="667085"/>
          <w:sz w:val="17"/>
        </w:rPr>
        <w:t>33.</w:t>
        <w:tab/>
      </w:r>
      <w:hyperlink r:id="rId39">
        <w:r>
          <w:rPr>
            <w:color w:val="2A78D6"/>
            <w:sz w:val="17"/>
          </w:rPr>
          <w:t xml:space="preserve">Ignitis Group - First six months 2026 interim report, p. 9, 2026-08-12</w:t>
        </w:r>
      </w:hyperlink>
    </w:p>
    <w:p>
      <w:pPr>
        <w:tabs>
          <w:tab w:pos="397" w:val="left"/>
        </w:tabs>
        <w:spacing w:before="0" w:after="30"/>
        <w:ind w:left="397" w:hanging="397"/>
      </w:pPr>
      <w:r>
        <w:rPr>
          <w:b w:val="0"/>
          <w:color w:val="667085"/>
          <w:sz w:val="17"/>
        </w:rPr>
        <w:t>34.</w:t>
        <w:tab/>
      </w:r>
      <w:hyperlink r:id="rId40">
        <w:r>
          <w:rPr>
            <w:color w:val="2A78D6"/>
            <w:sz w:val="17"/>
          </w:rPr>
          <w:t xml:space="preserve">Yahoo Finance UK – Ignitis Group intends to issue inaugural EuGB bonds and announces tender offer for Notes due 14 July 2027, 2026-10-19</w:t>
        </w:r>
      </w:hyperlink>
    </w:p>
    <w:p>
      <w:pPr>
        <w:tabs>
          <w:tab w:pos="397" w:val="left"/>
        </w:tabs>
        <w:spacing w:before="0" w:after="30"/>
        <w:ind w:left="397" w:hanging="397"/>
      </w:pPr>
      <w:r>
        <w:rPr>
          <w:b w:val="0"/>
          <w:color w:val="667085"/>
          <w:sz w:val="17"/>
        </w:rPr>
        <w:t>35.</w:t>
        <w:tab/>
      </w:r>
      <w:hyperlink r:id="rId41">
        <w:r>
          <w:rPr>
            <w:color w:val="2A78D6"/>
            <w:sz w:val="17"/>
          </w:rPr>
          <w:t xml:space="preserve">www.marketscreener.com – Ignitis Grupe Prices EUR300 Million European Green Bond, 2026-10-21</w:t>
        </w:r>
      </w:hyperlink>
    </w:p>
    <w:p>
      <w:pPr>
        <w:tabs>
          <w:tab w:pos="397" w:val="left"/>
        </w:tabs>
        <w:spacing w:before="0" w:after="30"/>
        <w:ind w:left="397" w:hanging="397"/>
      </w:pPr>
      <w:r>
        <w:rPr>
          <w:b w:val="0"/>
          <w:color w:val="667085"/>
          <w:sz w:val="17"/>
        </w:rPr>
        <w:t>36.</w:t>
        <w:tab/>
      </w:r>
      <w:hyperlink r:id="rId42">
        <w:r>
          <w:rPr>
            <w:color w:val="2A78D6"/>
            <w:sz w:val="17"/>
          </w:rPr>
          <w:t xml:space="preserve">IntelliNews – Lithuania’s Ignitis seeks to postpone €3bn Baltic offshore wind project as costs rise 27%, 2026-10-22</w:t>
        </w:r>
      </w:hyperlink>
    </w:p>
    <w:p>
      <w:pPr>
        <w:tabs>
          <w:tab w:pos="397" w:val="left"/>
        </w:tabs>
        <w:spacing w:before="0" w:after="30"/>
        <w:ind w:left="397" w:hanging="397"/>
      </w:pPr>
      <w:r>
        <w:rPr>
          <w:b w:val="0"/>
          <w:color w:val="667085"/>
          <w:sz w:val="17"/>
        </w:rPr>
        <w:t>37.</w:t>
        <w:tab/>
      </w:r>
      <w:hyperlink r:id="rId43">
        <w:r>
          <w:rPr>
            <w:color w:val="2A78D6"/>
            <w:sz w:val="17"/>
          </w:rPr>
          <w:t xml:space="preserve">Yahoo Finance UK – Approved the final candidate for the position of Chair of the Management Board and Chief Executive Officer of AB “Ignitis grupė”, 2026-09-23</w:t>
        </w:r>
      </w:hyperlink>
    </w:p>
    <w:p>
      <w:pPr>
        <w:tabs>
          <w:tab w:pos="397" w:val="left"/>
        </w:tabs>
        <w:spacing w:before="0" w:after="30"/>
        <w:ind w:left="397" w:hanging="397"/>
      </w:pPr>
      <w:r>
        <w:rPr>
          <w:b w:val="0"/>
          <w:color w:val="667085"/>
          <w:sz w:val="17"/>
        </w:rPr>
        <w:t>38.</w:t>
        <w:tab/>
      </w:r>
      <w:hyperlink r:id="rId44">
        <w:r>
          <w:rPr>
            <w:color w:val="2A78D6"/>
            <w:sz w:val="17"/>
          </w:rPr>
          <w:t xml:space="preserve">Yahoo Finance UK – Selection announced for a member of the Management Board of “Ignitis grupė” responsible for Energy Markets and Commerce, 2026-10-21</w:t>
        </w:r>
      </w:hyperlink>
    </w:p>
    <w:p>
      <w:pPr>
        <w:tabs>
          <w:tab w:pos="397" w:val="left"/>
        </w:tabs>
        <w:spacing w:before="0" w:after="30"/>
        <w:ind w:left="397" w:hanging="397"/>
      </w:pPr>
      <w:r>
        <w:rPr>
          <w:b w:val="0"/>
          <w:color w:val="667085"/>
          <w:sz w:val="17"/>
        </w:rPr>
        <w:t>39.</w:t>
        <w:tab/>
      </w:r>
      <w:hyperlink r:id="rId53">
        <w:r>
          <w:rPr>
            <w:color w:val="2A78D6"/>
            <w:sz w:val="17"/>
          </w:rPr>
          <w:t xml:space="preserve">OFAC Sanctions List Search (US Treasury)</w:t>
        </w:r>
      </w:hyperlink>
    </w:p>
    <w:p>
      <w:pPr>
        <w:tabs>
          <w:tab w:pos="397" w:val="left"/>
        </w:tabs>
        <w:spacing w:before="0" w:after="30"/>
        <w:ind w:left="397" w:hanging="397"/>
      </w:pPr>
      <w:r>
        <w:rPr>
          <w:b w:val="0"/>
          <w:color w:val="667085"/>
          <w:sz w:val="17"/>
        </w:rPr>
        <w:t>40.</w:t>
        <w:tab/>
      </w:r>
      <w:hyperlink r:id="rId54">
        <w:r>
          <w:rPr>
            <w:color w:val="2A78D6"/>
            <w:sz w:val="17"/>
          </w:rPr>
          <w:t xml:space="preserve">EU Sanctions Map</w:t>
        </w:r>
      </w:hyperlink>
    </w:p>
    <w:p>
      <w:pPr>
        <w:tabs>
          <w:tab w:pos="397" w:val="left"/>
        </w:tabs>
        <w:spacing w:before="0" w:after="30"/>
        <w:ind w:left="397" w:hanging="397"/>
      </w:pPr>
      <w:r>
        <w:rPr>
          <w:b w:val="0"/>
          <w:color w:val="667085"/>
          <w:sz w:val="17"/>
        </w:rPr>
        <w:t>41.</w:t>
        <w:tab/>
      </w:r>
      <w:hyperlink r:id="rId55">
        <w:r>
          <w:rPr>
            <w:color w:val="2A78D6"/>
            <w:sz w:val="17"/>
          </w:rPr>
          <w:t xml:space="preserve">Integrated Annual Report 2025, p. 10, 2026-02-25</w:t>
        </w:r>
      </w:hyperlink>
    </w:p>
    <w:p>
      <w:pPr>
        <w:tabs>
          <w:tab w:pos="397" w:val="left"/>
        </w:tabs>
        <w:spacing w:before="0" w:after="30"/>
        <w:ind w:left="397" w:hanging="397"/>
      </w:pPr>
      <w:r>
        <w:rPr>
          <w:b w:val="0"/>
          <w:color w:val="667085"/>
          <w:sz w:val="17"/>
        </w:rPr>
        <w:t>42.</w:t>
        <w:tab/>
      </w:r>
      <w:hyperlink r:id="rId56">
        <w:r>
          <w:rPr>
            <w:color w:val="2A78D6"/>
            <w:sz w:val="17"/>
          </w:rPr>
          <w:t xml:space="preserve">Ignitis grupė - Politikos ir sertifikatai (website, LT), 2026-10-22</w:t>
        </w:r>
      </w:hyperlink>
    </w:p>
    <w:p>
      <w:pPr>
        <w:tabs>
          <w:tab w:pos="397" w:val="left"/>
        </w:tabs>
        <w:spacing w:before="0" w:after="30"/>
        <w:ind w:left="397" w:hanging="397"/>
      </w:pPr>
      <w:r>
        <w:rPr>
          <w:b w:val="0"/>
          <w:color w:val="667085"/>
          <w:sz w:val="17"/>
        </w:rPr>
        <w:t>43.</w:t>
        <w:tab/>
      </w:r>
      <w:hyperlink r:id="rId57">
        <w:r>
          <w:rPr>
            <w:color w:val="2A78D6"/>
            <w:sz w:val="17"/>
          </w:rPr>
          <w:t xml:space="preserve">SEB Policy on Sustainability Considerations in Investments (2026-04-15), p. 5, 2026-04-15</w:t>
        </w:r>
      </w:hyperlink>
    </w:p>
    <w:p>
      <w:pPr>
        <w:tabs>
          <w:tab w:pos="397" w:val="left"/>
        </w:tabs>
        <w:spacing w:before="0" w:after="30"/>
        <w:ind w:left="397" w:hanging="397"/>
      </w:pPr>
      <w:r>
        <w:rPr>
          <w:b w:val="0"/>
          <w:color w:val="667085"/>
          <w:sz w:val="17"/>
        </w:rPr>
        <w:t>44.</w:t>
        <w:tab/>
      </w:r>
      <w:hyperlink r:id="rId58">
        <w:r>
          <w:rPr>
            <w:color w:val="2A78D6"/>
            <w:sz w:val="17"/>
          </w:rPr>
          <w:t xml:space="preserve">SEB Sector Policy on Electricity &amp; Renewable Energy (2026-04-23), p. 6, 2026-04-23</w:t>
        </w:r>
      </w:hyperlink>
    </w:p>
    <w:p>
      <w:pPr>
        <w:tabs>
          <w:tab w:pos="397" w:val="left"/>
        </w:tabs>
        <w:spacing w:before="0" w:after="30"/>
        <w:ind w:left="397" w:hanging="397"/>
      </w:pPr>
      <w:r>
        <w:rPr>
          <w:b w:val="0"/>
          <w:color w:val="667085"/>
          <w:sz w:val="17"/>
        </w:rPr>
        <w:t>45.</w:t>
        <w:tab/>
      </w:r>
      <w:hyperlink r:id="rId59">
        <w:r>
          <w:rPr>
            <w:color w:val="2A78D6"/>
            <w:sz w:val="17"/>
          </w:rPr>
          <w:t xml:space="preserve">Integrated Annual Report 2025, p. 24, 39, 2026-02-25</w:t>
        </w:r>
      </w:hyperlink>
    </w:p>
    <w:p>
      <w:pPr>
        <w:tabs>
          <w:tab w:pos="397" w:val="left"/>
        </w:tabs>
        <w:spacing w:before="0" w:after="30"/>
        <w:ind w:left="397" w:hanging="397"/>
      </w:pPr>
      <w:r>
        <w:rPr>
          <w:b w:val="0"/>
          <w:color w:val="667085"/>
          <w:sz w:val="17"/>
        </w:rPr>
        <w:t>46.</w:t>
        <w:tab/>
      </w:r>
      <w:hyperlink r:id="rId60">
        <w:r>
          <w:rPr>
            <w:color w:val="2A78D6"/>
            <w:sz w:val="17"/>
          </w:rPr>
          <w:t xml:space="preserve">SEB Sector Policy on Fossil Fuels (2026-04-23), p. 4, 6, 2026-04-23</w:t>
        </w:r>
      </w:hyperlink>
    </w:p>
    <w:p>
      <w:pPr>
        <w:tabs>
          <w:tab w:pos="397" w:val="left"/>
        </w:tabs>
        <w:spacing w:before="0" w:after="30"/>
        <w:ind w:left="397" w:hanging="397"/>
      </w:pPr>
      <w:r>
        <w:rPr>
          <w:b w:val="0"/>
          <w:color w:val="667085"/>
          <w:sz w:val="17"/>
        </w:rPr>
        <w:t>47.</w:t>
        <w:tab/>
      </w:r>
      <w:hyperlink r:id="rId61">
        <w:r>
          <w:rPr>
            <w:color w:val="2A78D6"/>
            <w:sz w:val="17"/>
          </w:rPr>
          <w:t xml:space="preserve">Integrated Annual Report 2025, p. 8-9, 15, 2026-02-25</w:t>
        </w:r>
      </w:hyperlink>
    </w:p>
    <w:p>
      <w:pPr>
        <w:tabs>
          <w:tab w:pos="397" w:val="left"/>
        </w:tabs>
        <w:spacing w:before="0" w:after="30"/>
        <w:ind w:left="397" w:hanging="397"/>
      </w:pPr>
      <w:r>
        <w:rPr>
          <w:b w:val="0"/>
          <w:color w:val="667085"/>
          <w:sz w:val="17"/>
        </w:rPr>
        <w:t>48.</w:t>
        <w:tab/>
      </w:r>
      <w:hyperlink r:id="rId62">
        <w:r>
          <w:rPr>
            <w:color w:val="2A78D6"/>
            <w:sz w:val="17"/>
          </w:rPr>
          <w:t xml:space="preserve">Integrated Annual Report 2025, p. 16, 2026-02-25</w:t>
        </w:r>
      </w:hyperlink>
    </w:p>
    <w:p>
      <w:pPr>
        <w:tabs>
          <w:tab w:pos="397" w:val="left"/>
        </w:tabs>
        <w:spacing w:before="0" w:after="30"/>
        <w:ind w:left="397" w:hanging="397"/>
      </w:pPr>
      <w:r>
        <w:rPr>
          <w:b w:val="0"/>
          <w:color w:val="667085"/>
          <w:sz w:val="17"/>
        </w:rPr>
        <w:t>49.</w:t>
        <w:tab/>
      </w:r>
      <w:hyperlink r:id="rId63">
        <w:r>
          <w:rPr>
            <w:color w:val="2A78D6"/>
            <w:sz w:val="17"/>
          </w:rPr>
          <w:t xml:space="preserve">Ignitis grupė - Verslo etika (website, LT), 2026-10-22</w:t>
        </w:r>
      </w:hyperlink>
    </w:p>
    <w:p>
      <w:pPr>
        <w:tabs>
          <w:tab w:pos="397" w:val="left"/>
        </w:tabs>
        <w:spacing w:before="0" w:after="30"/>
        <w:ind w:left="397" w:hanging="397"/>
      </w:pPr>
      <w:r>
        <w:rPr>
          <w:b w:val="0"/>
          <w:color w:val="667085"/>
          <w:sz w:val="17"/>
        </w:rPr>
        <w:t>50.</w:t>
        <w:tab/>
      </w:r>
      <w:hyperlink r:id="rId61">
        <w:r>
          <w:rPr>
            <w:color w:val="2A78D6"/>
            <w:sz w:val="17"/>
          </w:rPr>
          <w:t xml:space="preserve">Integrated Annual Report 2025, p. 8, 2026-02-25</w:t>
        </w:r>
      </w:hyperlink>
    </w:p>
    <w:p>
      <w:pPr>
        <w:tabs>
          <w:tab w:pos="397" w:val="left"/>
        </w:tabs>
        <w:spacing w:before="0" w:after="30"/>
        <w:ind w:left="397" w:hanging="397"/>
      </w:pPr>
      <w:r>
        <w:rPr>
          <w:b w:val="0"/>
          <w:color w:val="667085"/>
          <w:sz w:val="17"/>
        </w:rPr>
        <w:t>51.</w:t>
        <w:tab/>
      </w:r>
      <w:hyperlink r:id="rId64">
        <w:r>
          <w:rPr>
            <w:color w:val="2A78D6"/>
            <w:sz w:val="17"/>
          </w:rPr>
          <w:t xml:space="preserve">Ignitis grupė - Gamta (website, LT), 2026-10-22</w:t>
        </w:r>
      </w:hyperlink>
    </w:p>
    <w:p>
      <w:pPr>
        <w:tabs>
          <w:tab w:pos="397" w:val="left"/>
        </w:tabs>
        <w:spacing w:before="0" w:after="30"/>
        <w:ind w:left="397" w:hanging="397"/>
      </w:pPr>
      <w:r>
        <w:rPr>
          <w:b w:val="0"/>
          <w:color w:val="667085"/>
          <w:sz w:val="17"/>
        </w:rPr>
        <w:t>52.</w:t>
        <w:tab/>
      </w:r>
      <w:hyperlink r:id="rId58">
        <w:r>
          <w:rPr>
            <w:color w:val="2A78D6"/>
            <w:sz w:val="17"/>
          </w:rPr>
          <w:t xml:space="preserve">SEB Sector Policy on Electricity &amp; Renewable Energy (2026-04-23), p. 8, 2026-04-23</w:t>
        </w:r>
      </w:hyperlink>
    </w:p>
    <w:p>
      <w:pPr>
        <w:tabs>
          <w:tab w:pos="397" w:val="left"/>
        </w:tabs>
        <w:spacing w:before="0" w:after="30"/>
        <w:ind w:left="397" w:hanging="397"/>
      </w:pPr>
      <w:r>
        <w:rPr>
          <w:b w:val="0"/>
          <w:color w:val="667085"/>
          <w:sz w:val="17"/>
        </w:rPr>
        <w:t>53.</w:t>
        <w:tab/>
      </w:r>
      <w:hyperlink r:id="rId65">
        <w:r>
          <w:rPr>
            <w:color w:val="2A78D6"/>
            <w:sz w:val="17"/>
          </w:rPr>
          <w:t xml:space="preserve">Integrated Annual Report 2025, p. 9, 2026-02-25</w:t>
        </w:r>
      </w:hyperlink>
    </w:p>
    <w:p>
      <w:pPr>
        <w:spacing w:before="40" w:after="60"/>
      </w:pPr>
      <w:r>
        <w:rPr>
          <w:b w:val="0"/>
          <w:color w:val="667085"/>
          <w:sz w:val="16"/>
        </w:rPr>
        <w:t>Report prepared from public sources. Figures are as published by the issuer; small numbers next to the text point to the source list.</w:t>
      </w:r>
    </w:p>
    <w:sectPr w:rsidR="00FC693F" w:rsidRPr="0006063C" w:rsidSect="00034616">
      <w:headerReference w:type="default" r:id="rId9"/>
      <w:footerReference w:type="default" r:id="rId10"/>
      <w:footerReference w:type="first" r:id="rId11"/>
      <w:pgSz w:w="11906" w:h="16838"/>
      <w:pgMar w:top="1020" w:right="1134" w:bottom="1020" w:left="1134"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color="D5DCE4" w:space="4"/>
      </w:pBdr>
      <w:tabs>
        <w:tab w:pos="9638" w:val="right"/>
      </w:tabs>
    </w:pPr>
    <w:r>
      <w:rPr>
        <w:b w:val="0"/>
        <w:color w:val="667085"/>
        <w:sz w:val="16"/>
      </w:rPr>
      <w:t>Ignitis grupė · 6M2026 · 2026-10-22</w:t>
      <w:tab/>
    </w:r>
    <w:r>
      <w:rPr>
        <w:b/>
        <w:color w:val="12355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4" w:color="D5DCE4" w:space="4"/>
      </w:pBdr>
      <w:tabs>
        <w:tab w:pos="9638" w:val="right"/>
      </w:tabs>
    </w:pPr>
    <w:r>
      <w:rPr>
        <w:b/>
        <w:color w:val="12355B"/>
        <w:sz w:val="16"/>
      </w:rPr>
      <w:t>Ignitis grupė</w:t>
    </w:r>
    <w:r>
      <w:rPr>
        <w:b w:val="0"/>
        <w:color w:val="667085"/>
        <w:sz w:val="16"/>
      </w:rPr>
      <w:tab/>
      <w:t>Issuer review · 6M2026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yperlink" Target="https://ignitisgrupe.lt/en/investors/credit-ratings" TargetMode="External"/><Relationship Id="rId13" Type="http://schemas.openxmlformats.org/officeDocument/2006/relationships/hyperlink" Target="https://ignitisgrupe.lt/sites/default/files/public/inline-files/First%20six%20months%202026%20interim%20report.pdf#page=14" TargetMode="External"/><Relationship Id="rId14" Type="http://schemas.openxmlformats.org/officeDocument/2006/relationships/image" Target="media/image1.png"/><Relationship Id="rId15" Type="http://schemas.openxmlformats.org/officeDocument/2006/relationships/hyperlink" Target="https://ignitisgrupe.lt/sites/default/files/public/inline-files/First%20six%20months%202026%20interim%20report.pdf#page=10" TargetMode="External"/><Relationship Id="rId16" Type="http://schemas.openxmlformats.org/officeDocument/2006/relationships/hyperlink" Target="https://ignitisgrupe.lt/en/news/ignitis-group-reports-sustained-strategic-progress-and-consistent-financial-performance-first" TargetMode="External"/><Relationship Id="rId17" Type="http://schemas.openxmlformats.org/officeDocument/2006/relationships/hyperlink" Target="https://ignitisgrupe.lt/en/investors/bonds" TargetMode="External"/><Relationship Id="rId18" Type="http://schemas.openxmlformats.org/officeDocument/2006/relationships/hyperlink" Target="https://ignitisgrupe.lt/sites/default/files/public/inline-files/First%20six%20months%202026%20interim%20report.pdf#page=24" TargetMode="External"/><Relationship Id="rId19" Type="http://schemas.openxmlformats.org/officeDocument/2006/relationships/hyperlink" Target="https://ignitisgrupe.lt/sites/default/files/public/inline-files/Ignitis%20Group%20Strategic%20Plan%202026%202029.pdf" TargetMode="External"/><Relationship Id="rId20" Type="http://schemas.openxmlformats.org/officeDocument/2006/relationships/hyperlink" Target="https://ignitisgrupe.lt/en/news/ignitis-group-prices-its-inaugural-eur-300-million-5-year-eugb-bonds" TargetMode="External"/><Relationship Id="rId21" Type="http://schemas.openxmlformats.org/officeDocument/2006/relationships/hyperlink" Target="https://ignitisgrupe.lt/sites/default/files/public/inline-files/First%20six%20months%202026%20interim%20report.pdf#page=11" TargetMode="External"/><Relationship Id="rId22" Type="http://schemas.openxmlformats.org/officeDocument/2006/relationships/hyperlink" Target="https://ignitisgrupe.lt/sites/default/files/public/inline-files/First%20six%20months%202026%20interim%20report.pdf#page=23" TargetMode="External"/><Relationship Id="rId23" Type="http://schemas.openxmlformats.org/officeDocument/2006/relationships/hyperlink" Target="https://ignitisgrupe.lt/sites/default/files/public/inline-files/Integrated%20Annual%20Report%202025.pdf#page=14" TargetMode="External"/><Relationship Id="rId24" Type="http://schemas.openxmlformats.org/officeDocument/2006/relationships/hyperlink" Target="https://ignitisgrupe.lt/en/news/ignitis-group-2025-results-record-strategic-progress-07-gw-new-green-capacities-installed" TargetMode="External"/><Relationship Id="rId25" Type="http://schemas.openxmlformats.org/officeDocument/2006/relationships/hyperlink" Target="https://ignitisgrupe.lt/sites/default/files/public/inline-files/First%20six%20months%202026%20interim%20report.pdf#page=29" TargetMode="External"/><Relationship Id="rId26" Type="http://schemas.openxmlformats.org/officeDocument/2006/relationships/hyperlink" Target="https://ignitisgrupe.lt/sites/default/files/public/inline-files/First%20six%20months%202026%20interim%20report.pdf#page=36" TargetMode="External"/><Relationship Id="rId27" Type="http://schemas.openxmlformats.org/officeDocument/2006/relationships/hyperlink" Target="https://ignitisgrupe.lt/sites/default/files/public/inline-files/First%20six%20months%202026%20interim%20report.pdf#page=32" TargetMode="External"/><Relationship Id="rId28" Type="http://schemas.openxmlformats.org/officeDocument/2006/relationships/hyperlink" Target="https://ignitisgrupe.lt/sites/default/files/public/inline-files/First%20six%20months%202026%20interim%20report.pdf#page=33" TargetMode="External"/><Relationship Id="rId29" Type="http://schemas.openxmlformats.org/officeDocument/2006/relationships/hyperlink" Target="https://ignitisgrupe.lt/sites/default/files/public/inline-files/Integrated%20Annual%20Report%202025.pdf" TargetMode="External"/><Relationship Id="rId30" Type="http://schemas.openxmlformats.org/officeDocument/2006/relationships/hyperlink" Target="https://ignitisgrupe.lt/sites/default/files/public/inline-files/Integrated%20Annual%20Report%202025.pdf#page=11" TargetMode="External"/><Relationship Id="rId31" Type="http://schemas.openxmlformats.org/officeDocument/2006/relationships/hyperlink" Target="https://ignitisgrupe.lt/sites/default/files/public/inline-files/First%20six%20months%202026%20interim%20report.pdf#page=37" TargetMode="External"/><Relationship Id="rId32" Type="http://schemas.openxmlformats.org/officeDocument/2006/relationships/image" Target="media/image2.png"/><Relationship Id="rId33" Type="http://schemas.openxmlformats.org/officeDocument/2006/relationships/hyperlink" Target="https://ignitisgrupe.lt/sites/default/files/public/inline-files/First%20six%20months%202026%20interim%20report.pdf#page=5" TargetMode="External"/><Relationship Id="rId34" Type="http://schemas.openxmlformats.org/officeDocument/2006/relationships/hyperlink" Target="https://ignitisgrupe.lt/sites/default/files/public/inline-files/Transcript.%20Investor%20presentation_6M%202026%20results.pdf" TargetMode="External"/><Relationship Id="rId35" Type="http://schemas.openxmlformats.org/officeDocument/2006/relationships/hyperlink" Target="https://ignitisgrupe.lt/sites/default/files/public/inline-files/First%20six%20months%202026%20interim%20report.pdf#page=6" TargetMode="External"/><Relationship Id="rId36" Type="http://schemas.openxmlformats.org/officeDocument/2006/relationships/hyperlink" Target="https://data.fca.org.uk/artefacts/NSM/GNW/b8cfd694-6694-4d57-bf10-2bb5ed7ce1a4.html" TargetMode="External"/><Relationship Id="rId37" Type="http://schemas.openxmlformats.org/officeDocument/2006/relationships/hyperlink" Target="https://ignitisgrupe.lt/sites/default/files/public/inline-files/Integrated%20Annual%20Report%202025.pdf#page=27" TargetMode="External"/><Relationship Id="rId38" Type="http://schemas.openxmlformats.org/officeDocument/2006/relationships/hyperlink" Target="https://ignitisgrupe.lt/sites/default/files/public/inline-files/First%20six%20months%202026%20interim%20report.pdf#page=17" TargetMode="External"/><Relationship Id="rId39" Type="http://schemas.openxmlformats.org/officeDocument/2006/relationships/hyperlink" Target="https://ignitisgrupe.lt/sites/default/files/public/inline-files/First%20six%20months%202026%20interim%20report.pdf#page=9" TargetMode="External"/><Relationship Id="rId40" Type="http://schemas.openxmlformats.org/officeDocument/2006/relationships/hyperlink" Target="https://news.google.com/rss/articles/CBMijwFBVV95cUxQTUkxNHMwVVZUQVZlV1YwUlJ5S3Q1dkwtTjJyTnBtRllQVnBWbUhob1dOWEVNbGpvQlZxZV9VX0I5Q256WVhJR2ZxOXpxb09Cbnk2WC1ZNkY4cDJnM28td0RtaTBVTHp6bUhCYU50cmg5Qi1mOG5TWmxyUjljaThEcHZCRHhSS29mcVBfUVVlVQ?oc=5" TargetMode="External"/><Relationship Id="rId41" Type="http://schemas.openxmlformats.org/officeDocument/2006/relationships/hyperlink" Target="https://news.google.com/rss/articles/CBMirAFBVV95cUxQMzRQRzlBQ0hPUzRSLXYyUEJnRWNZb3A2c0lQWTgwWjVmemdKQkN5YWFQbUNzekwwektwRXVMZG41Zjc0enY0VndwVzlZcTRZOFNRME5xZWpMSjFGdkdfQVVpOEh5bml2dXUtR2RFelo3RVpRRFcwcFVSb00wQWV5bHJmVDNzcnY3WGppbTRwbS03bUdrQnZUZjV6Q2s2R040VF9uUmp3TTJFMnk1?oc=5" TargetMode="External"/><Relationship Id="rId42" Type="http://schemas.openxmlformats.org/officeDocument/2006/relationships/hyperlink" Target="https://news.google.com/rss/articles/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oc=5" TargetMode="External"/><Relationship Id="rId43" Type="http://schemas.openxmlformats.org/officeDocument/2006/relationships/hyperlink" Target="https://news.google.com/rss/articles/CBMikgFBVV95cUxPbXdHTjBtYmtWUTdweU1xbmlMVkRfTHJpYmpRTjl0cXN1SG9hb2xNbndEc3h4QUJOaXkzSE9jMTNLcXRZNnBPWnJqdUlRNDJsbmRmVEJuSnVGXzJ4RnJqWWFSZWVBWHUzdjMtbTVnX1FUYVRoVTJfd0dtb1JtbFN1Q1BSXzVKeW1NelpGRnN3Mlc3dw?oc=5" TargetMode="External"/><Relationship Id="rId44" Type="http://schemas.openxmlformats.org/officeDocument/2006/relationships/hyperlink" Target="https://news.google.com/rss/articles/CBMilwFBVV95cUxQUzZfUlE3bE9COWx5WVVUMVhjRUxRM1JXRWU3Q2ZXVTdjRVo2MzV3UGhzeVVMWnBmSWxrb050N3FTNnliODVPNy11OWUtXzBwUDFjZ3RUb3NxZWJfYjlBMDlSY3oteEtjOEMzWWtQYmQ4VHlfNjJTZXQwZ1hCaDVuWUtlczZYVnBLQWZqVFdoSUZTNWJ2Z3dz?oc=5" TargetMode="External"/><Relationship Id="rId45" Type="http://schemas.openxmlformats.org/officeDocument/2006/relationships/hyperlink" Target="https://news.google.com/rss/articles/CBMiuwJBVV95cUxOamh3YWM2YzNONklYUHBabVhxTkRIOWh2VnFIMXR2ZlIySVZla1NKcDhQYWRXNlQ2enVZU1ktT3pwN04xMURyWkxmWlNfTHFPdWp0NUNmMFRmX2lBRUlXTTQzdGVXeW5wU0wyWmRlU1M5WmVQS01zNkpWNTBYS0tWbG5lNWNvR2t1XzdVcktuN3ZaSGNfWmt5RjNBSTB3YjdRUE1HZ05DNUZ2OW0zaVFRem1LbUNTWnM2SjVNb0htUkRtLXR3b2prQVdEZ0lLMjBydktQSjVtODZwaGdxdjVQNFJhZ2RDeXBIZlhhQnFYMjZjQzRDNnp1QklLb0VDNVVRZnZlcmdYZnNtck55UW5obVF0clJQM3JXWEtyOEcxMzcwdnZXaG9NUkpBSUFPbUdISnVuVFpUaVRYeGM?oc=5" TargetMode="External"/><Relationship Id="rId46" Type="http://schemas.openxmlformats.org/officeDocument/2006/relationships/hyperlink" Target="https://news.google.com/rss/articles/CBMihgFBVV95cUxPUFhfcW5XdEJ2c2tTZlBoc1ZUWXBXXzVOQ2dIQnpHOTRNbFYtQlJ3Y08zeVROTG5aWUxuYlNSeWVPbGU3QzB1My1CMkMtOUc3UEpxQTRNV0FUNENaQ0pUenJSZ2dZdHRIcjY4VlVUdV8xZjV2cXJIOHN6Q09zR2d0dFZFVXNCUQ?oc=5" TargetMode="External"/><Relationship Id="rId47" Type="http://schemas.openxmlformats.org/officeDocument/2006/relationships/hyperlink" Target="https://news.google.com/rss/articles/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oc=5" TargetMode="External"/><Relationship Id="rId48" Type="http://schemas.openxmlformats.org/officeDocument/2006/relationships/hyperlink" Target="https://news.google.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?oc=5" TargetMode="External"/><Relationship Id="rId49" Type="http://schemas.openxmlformats.org/officeDocument/2006/relationships/hyperlink" Target="https://news.google.com/rss/articles/CBMilgFBVV95cUxNWWkyYlB6Sm9RUV9UejFvTnczYVFHVUh0Smg5Y29lNWx3R0dfRDRmTzh1Y3BoSWFBTTIyWm5NN1BQdkNjaktkcHNKQlJVUWJOQTRRV2QtUjYyZkowUFZNRDJqN05XU1VUZ3B6SVY4cFNhbGtWMFppUVRxY0NxZW9ZbmM3TVcxSkgzM0hlbl91YkNZcWxTV0E?oc=5" TargetMode="External"/><Relationship Id="rId50" Type="http://schemas.openxmlformats.org/officeDocument/2006/relationships/hyperlink" Target="https://news.google.com/rss/articles/CBMi0wFBVV95cUxNbDJmRDNSczlrd1dkTjhyVXdxbTZQaVExbzM2YnRXOHc2RzZudlhFQ3JTU3RITlUyOGVnTjI1aVhldVdQeHpVc3pCUFJpU1Ffc1Y4a1ZkR0toSVljQmpISkVCaDVZV2FTYk5jaHhtd0hQUk9NQzVNTzIwYUVObkhiMndJU0tfakNrVThSR21tX1prNWRCQlh4RWhKckNBRlZQZXNtU0Ezb2E3V0NTdy1oWnNPOGJlWEp6SHhESHpldFVIR0ZtZkIxanFuTVVqb0RkTXkw?oc=5" TargetMode="External"/><Relationship Id="rId51" Type="http://schemas.openxmlformats.org/officeDocument/2006/relationships/hyperlink" Target="https://news.google.com/rss/articles/CBMiwgFBVV95cUxOZjlwN2dXV1cxRUMxOVVWUkpKX3ZwR25Vd1U1UFJJVzZuNm9ZY2R6LTdtQWpqS0w5TE11U09vMGkxZkt5cy00S0lTU3psYXVybFV0ZzFFUW55cl9fNm1ueHdBTzdGNnZSYjg3cV9xRlB1RHBKWmFURWlfMV8xYnVLaFFQM1FDdnVLYWtRc2s1NU9PY2RlUU5jUmJKeUswV2tmRHZZcHB2QmtEWmVLb1Y2RmNLUXZRQWNfLVgxVi05VGVEZw?oc=5" TargetMode="External"/><Relationship Id="rId52" Type="http://schemas.openxmlformats.org/officeDocument/2006/relationships/hyperlink" Target="https://news.google.com/rss/articles/CBMihwFBVV95cUxQdWFFN2hvS2tIaThYZFNwb0dIdU8xMkhYQWt2SEZjQkxHU3k0Z295Z3dvVnNiYlFwbXZGSFgyMlpnSUJSNE41Y05YbXhKZWRkMm5tem1uYjR1Q0VLOHQ1MloxVlFoWi1lMWNmN3lYc2dIS1pjVjdSMk90cjVTWXoyVUFHRWlnelE?oc=5" TargetMode="External"/><Relationship Id="rId53" Type="http://schemas.openxmlformats.org/officeDocument/2006/relationships/hyperlink" Target="https://sanctionssearch.ofac.treas.gov/" TargetMode="External"/><Relationship Id="rId54" Type="http://schemas.openxmlformats.org/officeDocument/2006/relationships/hyperlink" Target="https://www.sanctionsmap.eu/#/main" TargetMode="External"/><Relationship Id="rId55" Type="http://schemas.openxmlformats.org/officeDocument/2006/relationships/hyperlink" Target="https://ignitisgrupe.lt/sites/default/files/public/inline-files/Integrated%20Annual%20Report%202025.pdf#page=10" TargetMode="External"/><Relationship Id="rId56" Type="http://schemas.openxmlformats.org/officeDocument/2006/relationships/hyperlink" Target="https://ignitisgrupe.lt/tvarumo-valdymas/politikos-ir-sertifikatai" TargetMode="External"/><Relationship Id="rId57" Type="http://schemas.openxmlformats.org/officeDocument/2006/relationships/hyperlink" Target="https://sebgroup.com/sustainability/our-sustainability-strategy/policies" TargetMode="External"/><Relationship Id="rId58" Type="http://schemas.openxmlformats.org/officeDocument/2006/relationships/hyperlink" Target="https://webapp.sebgroup.com/mb/mblib.nsf/dld/60D2454400789893C12587D70030AFC1?opendocument" TargetMode="External"/><Relationship Id="rId59" Type="http://schemas.openxmlformats.org/officeDocument/2006/relationships/hyperlink" Target="https://ignitisgrupe.lt/sites/default/files/public/inline-files/Integrated%20Annual%20Report%202025.pdf#page=24" TargetMode="External"/><Relationship Id="rId60" Type="http://schemas.openxmlformats.org/officeDocument/2006/relationships/hyperlink" Target="https://webapp.sebgroup.com/mb/mblib.nsf/dld/80AF6A2E5F88CDC2C12586B1002E33C2?opendocument" TargetMode="External"/><Relationship Id="rId61" Type="http://schemas.openxmlformats.org/officeDocument/2006/relationships/hyperlink" Target="https://ignitisgrupe.lt/sites/default/files/public/inline-files/Integrated%20Annual%20Report%202025.pdf#page=8" TargetMode="External"/><Relationship Id="rId62" Type="http://schemas.openxmlformats.org/officeDocument/2006/relationships/hyperlink" Target="https://ignitisgrupe.lt/sites/default/files/public/inline-files/Integrated%20Annual%20Report%202025.pdf#page=16" TargetMode="External"/><Relationship Id="rId63" Type="http://schemas.openxmlformats.org/officeDocument/2006/relationships/hyperlink" Target="https://ignitisgrupe.lt/tvarumo-prioritetai/verslo-etika" TargetMode="External"/><Relationship Id="rId64" Type="http://schemas.openxmlformats.org/officeDocument/2006/relationships/hyperlink" Target="https://ignitisgrupe.lt/tvarumo-prioritetai/gamta" TargetMode="External"/><Relationship Id="rId65" Type="http://schemas.openxmlformats.org/officeDocument/2006/relationships/hyperlink" Target="https://ignitisgrupe.lt/sites/default/files/public/inline-files/Integrated%20Annual%20Report%202025.pdf#page=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