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24" w:color="12355B" w:space="0"/>
        </w:pBdr>
        <w:spacing w:before="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030"/>
        <w:gridCol w:w="2608"/>
      </w:tblGrid>
      <w:tr>
        <w:tc>
          <w:tcPr>
            <w:tcW w:type="dxa" w:w="7030"/>
          </w:tcPr>
          <w:p>
            <w:pPr>
              <w:spacing w:before="0" w:after="0"/>
            </w:pPr>
            <w:r>
              <w:rPr>
                <w:b/>
                <w:caps/>
                <w:color w:val="2A78D6"/>
                <w:sz w:val="16"/>
              </w:rPr>
              <w:t>Issuer review · 1H2026</w:t>
            </w:r>
          </w:p>
          <w:p>
            <w:pPr>
              <w:spacing w:before="40" w:after="0"/>
            </w:pPr>
            <w:r>
              <w:rPr>
                <w:b/>
                <w:color w:val="12355B"/>
                <w:sz w:val="52"/>
              </w:rPr>
              <w:t>Luminor Bank</w:t>
            </w:r>
          </w:p>
          <w:p>
            <w:pPr>
              <w:spacing w:before="40" w:after="0"/>
            </w:pPr>
            <w:r>
              <w:rPr>
                <w:b w:val="0"/>
                <w:color w:val="667085"/>
                <w:sz w:val="18"/>
              </w:rPr>
              <w:t>Estonia · Bank (Baltic universal bank; EE, LV, LT)</w:t>
            </w:r>
          </w:p>
        </w:tc>
        <w:tc>
          <w:tcPr>
            <w:tcW w:type="dxa" w:w="2608"/>
          </w:tcPr>
          <w:p>
            <w:pPr>
              <w:spacing w:before="440" w:after="0"/>
              <w:jc w:val="right"/>
            </w:pPr>
            <w:r>
              <w:rPr>
                <w:b/>
                <w:color w:val="1B7F3B"/>
                <w:sz w:val="18"/>
                <w:shd w:val="clear" w:color="auto" w:fill="E3F3E8"/>
              </w:rPr>
              <w:t xml:space="preserve">  ●  OK  </w:t>
            </w:r>
          </w:p>
        </w:tc>
      </w:tr>
    </w:tbl>
    <w:p>
      <w:pPr>
        <w:pBdr>
          <w:top w:val="single" w:sz="4" w:color="D5DCE4" w:space="0"/>
        </w:pBdr>
        <w:spacing w:before="12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Key facts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Issuer rating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Moody's - affirmed after the OTP announcement (grade to be confirmed; 2025 annual report refers to 'current A2 rating')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5"/>
                </w:rPr>
                <w:t xml:space="preserve">2</w:t>
              </w:r>
            </w:hyperlink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Analysis date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2026-10-22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Next report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3Q 2026 interim report - expected November 2026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Country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Estonia</w:t>
            </w:r>
          </w:p>
        </w:tc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Securities held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Luminor Bank 3.551% 2029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XS3079969104  ·  3.551% · 2029-06-12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no separate rating found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Luminor Bank 4.042% 2028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XS2888497067  ·  4.042% · 2028-09-10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no separate rating found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Luminor 7.375% perpetual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XS2982074861  ·  7.375% · perpetual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no separate rating found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80" w:type="dxa"/>
          <w:left w:w="260" w:type="dxa"/>
          <w:bottom w:w="200" w:type="dxa"/>
          <w:right w:w="26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single" w:sz="24" w:color="1B7F3B" w:space="0"/>
              <w:bottom w:val="nil"/>
              <w:right w:val="nil"/>
            </w:tcBorders>
            <w:shd w:val="clear" w:color="auto" w:fill="E3F3E8"/>
          </w:tcPr>
          <w:p>
            <w:pPr>
              <w:spacing w:before="0" w:after="0" w:line="276" w:lineRule="auto"/>
            </w:pPr>
            <w:r>
              <w:rPr>
                <w:b/>
                <w:color w:val="1B2430"/>
                <w:sz w:val="21"/>
              </w:rPr>
              <w:t>Position OK.</w:t>
            </w:r>
            <w:r>
              <w:rPr>
                <w:b w:val="0"/>
                <w:color w:val="1B2430"/>
                <w:sz w:val="21"/>
              </w:rPr>
              <w:t xml:space="preserve"> Capital and liquidity are well above requirements, and Moody's kept the rating after the OTP Bank deal was announced</w:t>
            </w:r>
            <w:hyperlink r:id="rId12">
              <w:r>
                <w:rPr>
                  <w:color w:val="2A78D6"/>
                  <w:vertAlign w:val="superscript"/>
                  <w:sz w:val="17"/>
                </w:rPr>
                <w:t xml:space="preserve">1</w:t>
              </w:r>
            </w:hyperlink>
            <w:r>
              <w:rPr>
                <w:b w:val="0"/>
                <w:color w:val="1B2430"/>
                <w:sz w:val="21"/>
              </w:rPr>
              <w:t>. Profit fell about a fifth</w:t>
            </w:r>
            <w:hyperlink r:id="rId14">
              <w:r>
                <w:rPr>
                  <w:color w:val="2A78D6"/>
                  <w:vertAlign w:val="superscript"/>
                  <w:sz w:val="17"/>
                </w:rPr>
                <w:t xml:space="preserve">3</w:t>
              </w:r>
            </w:hyperlink>
            <w:r>
              <w:rPr>
                <w:b w:val="0"/>
                <w:color w:val="1B2430"/>
                <w:sz w:val="21"/>
              </w:rPr>
              <w:t>. The 7.75% bond XS2633112565 was redeemed in June 2026 and is no longer outstanding</w:t>
            </w:r>
            <w:hyperlink r:id="rId15">
              <w:r>
                <w:rPr>
                  <w:color w:val="2A78D6"/>
                  <w:vertAlign w:val="superscript"/>
                  <w:sz w:val="17"/>
                </w:rPr>
                <w:t xml:space="preserve">4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7"/>
                </w:rPr>
                <w:t xml:space="preserve">5</w:t>
              </w:r>
            </w:hyperlink>
            <w:r>
              <w:rPr>
                <w:b w:val="0"/>
                <w:color w:val="1B2430"/>
                <w:sz w:val="21"/>
              </w:rPr>
              <w:t>.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50" w:type="dxa"/>
          <w:left w:w="170" w:type="dxa"/>
          <w:bottom w:w="150" w:type="dxa"/>
          <w:right w:w="100" w:type="dxa"/>
        </w:tblCellMar>
        <w:tblLook w:firstColumn="1" w:firstRow="1" w:lastColumn="0" w:lastRow="0" w:noHBand="0" w:noVBand="1" w:val="04A0"/>
      </w:tblPr>
      <w:tblGrid>
        <w:gridCol w:w="2260"/>
        <w:gridCol w:w="198"/>
        <w:gridCol w:w="2260"/>
        <w:gridCol w:w="198"/>
        <w:gridCol w:w="2260"/>
        <w:gridCol w:w="198"/>
        <w:gridCol w:w="2260"/>
      </w:tblGrid>
      <w:tr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Net profit</w:t>
            </w:r>
            <w:r>
              <w:rPr>
                <w:b w:val="0"/>
                <w:color w:val="667085"/>
                <w:sz w:val="14"/>
              </w:rPr>
              <w:t xml:space="preserve">  ·  2Q2026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37.4</w:t>
            </w:r>
            <w:r>
              <w:rPr>
                <w:b w:val="0"/>
                <w:color w:val="667085"/>
                <w:sz w:val="18"/>
              </w:rPr>
              <w:t xml:space="preserve"> EUR m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19.0 % vs 2Q2025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ROE</w:t>
            </w:r>
            <w:r>
              <w:rPr>
                <w:b w:val="0"/>
                <w:color w:val="667085"/>
                <w:sz w:val="14"/>
              </w:rPr>
              <w:t xml:space="preserve">  ·  1H2026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7.7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0.9 p. p. vs FY2025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CET1 ratio</w:t>
            </w:r>
            <w:r>
              <w:rPr>
                <w:b w:val="0"/>
                <w:color w:val="667085"/>
                <w:sz w:val="14"/>
              </w:rPr>
              <w:t xml:space="preserve">  ·  1H2026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19.6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1 p. p. vs 1H2025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LCR</w:t>
            </w:r>
            <w:r>
              <w:rPr>
                <w:b w:val="0"/>
                <w:color w:val="667085"/>
                <w:sz w:val="14"/>
              </w:rPr>
              <w:t xml:space="preserve">  ·  1H2026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187.0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23.7 p. p. vs 1H2025</w:t>
            </w:r>
          </w:p>
        </w:tc>
      </w:tr>
    </w:tbl>
    <w:p>
      <w:pPr>
        <w:spacing w:before="0" w:after="40"/>
      </w:pPr>
    </w:p>
    <w:p>
      <w:pPr>
        <w:keepNext/>
        <w:spacing w:before="200" w:after="100"/>
      </w:pPr>
      <w:r>
        <w:rPr>
          <w:b/>
          <w:color w:val="12355B"/>
          <w:sz w:val="26"/>
        </w:rPr>
        <w:t>Quick summary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Profit down about a fifth:</w:t>
      </w:r>
      <w:r>
        <w:rPr>
          <w:b w:val="0"/>
        </w:rPr>
        <w:t xml:space="preserve"> 1H 2026 net profit EUR 72.0m versus 91.6m a year ago; Q2 alone EUR 37.4m versus 46.2m. Return on equity 7.7%</w:t>
      </w:r>
      <w:hyperlink r:id="rId14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Capital and liquidity well above requirements:</w:t>
      </w:r>
      <w:r>
        <w:rPr>
          <w:b w:val="0"/>
        </w:rPr>
        <w:t xml:space="preserve"> CET1 19.6% and total capital 23.7%. MREL 36.34% of TREA versus a 23.69% requirement plus buffers. Liquidity: LCR 187.0%, NSFR 142.3%</w:t>
      </w:r>
      <w:hyperlink r:id="rId16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New owner coming:</w:t>
      </w:r>
      <w:r>
        <w:rPr>
          <w:b w:val="0"/>
        </w:rPr>
        <w:t xml:space="preserve"> on 2026-07-20 it was announced that OTP Bank will buy 100% of Luminor from the Blackstone-led consortium and DNB. Regulatory approvals are pending. Moody's kept the rating and outlook</w:t>
      </w:r>
      <w:hyperlink r:id="rId17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Part of capital to be returned:</w:t>
      </w:r>
      <w:r>
        <w:rPr>
          <w:b w:val="0"/>
        </w:rPr>
        <w:t xml:space="preserve"> on 2026-07-17 the ECB approved a EUR 200.0m reduction of CET1 capital, expected in Q4 2026</w:t>
      </w:r>
      <w:hyperlink r:id="rId17">
        <w:r>
          <w:rPr>
            <w:color w:val="2A78D6"/>
            <w:vertAlign w:val="superscript"/>
            <w:sz w:val="17"/>
          </w:rPr>
          <w:t xml:space="preserve">8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Cheaper funding:</w:t>
      </w:r>
      <w:r>
        <w:rPr>
          <w:b w:val="0"/>
        </w:rPr>
        <w:t xml:space="preserve"> a EUR 300m senior bond at MS+4.471% was repaid and the first EUR 500m senior non-preferred bond was issued at MS+1.28%</w:t>
      </w:r>
      <w:hyperlink r:id="rId16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01</w:t>
        <w:tab/>
      </w:r>
      <w:r>
        <w:rPr>
          <w:b/>
          <w:color w:val="12355B"/>
          <w:sz w:val="28"/>
        </w:rPr>
        <w:t>Instruments held and ISINs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1457"/>
        <w:gridCol w:w="2241"/>
        <w:gridCol w:w="1064"/>
        <w:gridCol w:w="1120"/>
        <w:gridCol w:w="1569"/>
        <w:gridCol w:w="2185"/>
      </w:tblGrid>
      <w:tr>
        <w:tc>
          <w:tcPr>
            <w:tcW w:type="dxa" w:w="14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ISIN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Instrument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Coupon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Maturity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Issue rating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Note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XS3079969104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Luminor Bank 3.551% 2029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3.551%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2029-06-12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no separate rating found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Senior preferred; callable at par 2028-06-12, then 3M EURIBOR+1.55%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XS2888497067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Luminor Bank 4.042% 2028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4.042%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2028-09-10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no separate rating found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Senior preferred; callable at par 2027-09-10, then 3M EURIBOR+1.50%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XS2982074861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Luminor 7.375% perpetual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7.375%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perpetual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no separate rating found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⚠ Perpetual, issued 2025-02-12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02</w:t>
        <w:tab/>
      </w:r>
      <w:r>
        <w:rPr>
          <w:b/>
          <w:color w:val="12355B"/>
          <w:sz w:val="28"/>
        </w:rPr>
        <w:t>Key ratios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864"/>
        <w:gridCol w:w="1156"/>
        <w:gridCol w:w="1156"/>
        <w:gridCol w:w="1156"/>
        <w:gridCol w:w="1156"/>
        <w:gridCol w:w="2148"/>
      </w:tblGrid>
      <w:tr>
        <w:tc>
          <w:tcPr>
            <w:tcW w:type="dxa" w:w="286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Metric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FY2024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1H2025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1H2026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Change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profit, EUR m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202.2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157.7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91.6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72.0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21.4 % vs 1H2025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interest income, EUR m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507.7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427.3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214.7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214.4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0.1 % vs 1H2025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Total operating income, EUR m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632.8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544.7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269.5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271.7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0.8 % vs 1H2025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Cost/income ratio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54.5%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64.7%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60.1%ᶜ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E7E5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65.5%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▲ 5.4 p. p. vs 1H2025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ROE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11.7%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8.6%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E7E5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7.7%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–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Cost of risk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0.01%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0.14%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–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interest margin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3.33%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2.71%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2.84%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2.70%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0.14 p. p. vs 1H2025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Loans to customers, EUR m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3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10,535.4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11,491.4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10,820.5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11,903.2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10.0 % vs 1H2025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Customer deposits, EUR m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3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11,352.7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11,510.7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11,240.5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12,275.5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9.2 % vs 1H2025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CET1 ratio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4">
              <w:r>
                <w:rPr>
                  <w:color w:val="2A78D6"/>
                  <w:vertAlign w:val="superscript"/>
                  <w:sz w:val="14"/>
                </w:rPr>
                <w:t xml:space="preserve">15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20.1%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20.2%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20.6%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19.6%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1 p. p. vs 1H2025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Total capital ratio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4">
              <w:r>
                <w:rPr>
                  <w:color w:val="2A78D6"/>
                  <w:vertAlign w:val="superscript"/>
                  <w:sz w:val="14"/>
                </w:rPr>
                <w:t xml:space="preserve">15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22.7%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24.6%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25.2%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23.7%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1.5 p. p. vs 1H2025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Leverage ratio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4">
              <w:r>
                <w:rPr>
                  <w:color w:val="2A78D6"/>
                  <w:vertAlign w:val="superscript"/>
                  <w:sz w:val="14"/>
                </w:rPr>
                <w:t xml:space="preserve">15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9.1%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10.0%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10.3%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9.9%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0.4 p. p. vs 1H2025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MREL (% of TREA)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35.54%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36.34%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0.8 p. p.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LCR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3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205.1%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174.6%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163.3%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187.0%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23.7 p. p. vs 1H2025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NSFR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3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143.6%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134.1%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133.8%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142.3%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8.5 p. p. vs 1H2025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NPL ratio</w:t>
            </w:r>
            <w:hyperlink r:id="rId25">
              <w:r>
                <w:rPr>
                  <w:color w:val="2A78D6"/>
                  <w:vertAlign w:val="superscript"/>
                  <w:sz w:val="14"/>
                </w:rPr>
                <w:t xml:space="preserve">16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6">
              <w:r>
                <w:rPr>
                  <w:color w:val="2A78D6"/>
                  <w:vertAlign w:val="superscript"/>
                  <w:sz w:val="14"/>
                </w:rPr>
                <w:t xml:space="preserve">17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1.8%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2.0%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1.7%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F1D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2.1%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▲ 0.4 p. p. vs 1H2025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Colours: green change – the metric is improving, red – worsening. Latest-period cell background: green – good level, amber – average, red – weak (internal benchmarks, config/metric_rules.yaml).</w:t>
      </w:r>
    </w:p>
    <w:p>
      <w:pPr>
        <w:spacing w:before="40" w:after="60"/>
      </w:pPr>
      <w:r>
        <w:rPr>
          <w:b w:val="0"/>
          <w:color w:val="667085"/>
          <w:sz w:val="16"/>
        </w:rPr>
        <w:t>* – taken from the report summary;  ᶜ – own calculation. Small numbers next to text link to the source (opens the document at the cited page).</w:t>
      </w:r>
    </w:p>
    <w:p>
      <w:r>
        <w:drawing>
          <wp:inline xmlns:a="http://schemas.openxmlformats.org/drawingml/2006/main" xmlns:pic="http://schemas.openxmlformats.org/drawingml/2006/picture">
            <wp:extent cx="6120000" cy="17138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uminor_e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13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03</w:t>
        <w:tab/>
      </w:r>
      <w:r>
        <w:rPr>
          <w:b/>
          <w:color w:val="12355B"/>
          <w:sz w:val="28"/>
        </w:rPr>
        <w:t>Business performance review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Loans to customers EUR 11,903.2m (+3.6% since YE2025), deposits EUR 12,275.5m (+6.6%; changes are own calculation)</w:t>
      </w:r>
      <w:hyperlink r:id="rId16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Net interest income 1H EUR 214.4m; net interest margin 2.70% (2025: 2.71%)</w:t>
      </w:r>
      <w:hyperlink r:id="rId19">
        <w:r>
          <w:rPr>
            <w:color w:val="2A78D6"/>
            <w:vertAlign w:val="superscript"/>
            <w:sz w:val="17"/>
          </w:rPr>
          <w:t xml:space="preserve">10</w:t>
        </w:r>
      </w:hyperlink>
      <w:r>
        <w:rPr>
          <w:color w:val="2A78D6"/>
          <w:vertAlign w:val="superscript"/>
        </w:rPr>
        <w:t>,</w:t>
      </w:r>
      <w:hyperlink r:id="rId22">
        <w:r>
          <w:rPr>
            <w:color w:val="2A78D6"/>
            <w:vertAlign w:val="superscript"/>
            <w:sz w:val="17"/>
          </w:rPr>
          <w:t xml:space="preserve">13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Cost/income 65.5% (2025:</w:t>
      </w:r>
      <w:r>
        <w:rPr>
          <w:b w:val="0"/>
        </w:rPr>
        <w:t xml:space="preserve"> 64.7%); cost of risk 0.14% (0.01%); NPL ratio 2.1% (2.0%)</w:t>
      </w:r>
      <w:hyperlink r:id="rId19">
        <w:r>
          <w:rPr>
            <w:color w:val="2A78D6"/>
            <w:vertAlign w:val="superscript"/>
            <w:sz w:val="17"/>
          </w:rPr>
          <w:t xml:space="preserve">10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EUR 74.0m of dividends for 2025 paid in 1H 2026</w:t>
      </w:r>
      <w:hyperlink r:id="rId16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04</w:t>
        <w:tab/>
      </w:r>
      <w:r>
        <w:rPr>
          <w:b/>
          <w:color w:val="12355B"/>
          <w:sz w:val="28"/>
        </w:rPr>
        <w:t>Financials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FY2025 net profit EUR 157.7m (2024:</w:t>
      </w:r>
      <w:r>
        <w:rPr>
          <w:b w:val="0"/>
        </w:rPr>
        <w:t xml:space="preserve"> 202.2m, −22.0%), ROE 8.6%, CET1 20.2%, total capital 24.6%</w:t>
      </w:r>
      <w:hyperlink r:id="rId18">
        <w:r>
          <w:rPr>
            <w:color w:val="2A78D6"/>
            <w:vertAlign w:val="superscript"/>
            <w:sz w:val="17"/>
          </w:rPr>
          <w:t xml:space="preserve">18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FY2025 figures restated in the 2Q report:</w:t>
      </w:r>
      <w:r>
        <w:rPr>
          <w:b w:val="0"/>
        </w:rPr>
        <w:t xml:space="preserve"> net interest income EUR 427.3m (annual report: 419.8m), total income EUR 544.7m (537.2m)</w:t>
      </w:r>
      <w:hyperlink r:id="rId19">
        <w:r>
          <w:rPr>
            <w:color w:val="2A78D6"/>
            <w:vertAlign w:val="superscript"/>
            <w:sz w:val="17"/>
          </w:rPr>
          <w:t xml:space="preserve">10</w:t>
        </w:r>
      </w:hyperlink>
      <w:r>
        <w:rPr>
          <w:color w:val="2A78D6"/>
          <w:vertAlign w:val="superscript"/>
        </w:rPr>
        <w:t>,</w:t>
      </w:r>
      <w:hyperlink r:id="rId28">
        <w:r>
          <w:rPr>
            <w:color w:val="2A78D6"/>
            <w:vertAlign w:val="superscript"/>
            <w:sz w:val="17"/>
          </w:rPr>
          <w:t xml:space="preserve">19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05</w:t>
        <w:tab/>
      </w:r>
      <w:r>
        <w:rPr>
          <w:b/>
          <w:color w:val="12355B"/>
          <w:sz w:val="28"/>
        </w:rPr>
        <w:t>Past plans vs outcomes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577"/>
        <w:gridCol w:w="2577"/>
        <w:gridCol w:w="3138"/>
        <w:gridCol w:w="1344"/>
      </w:tblGrid>
      <w:tr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Plan / target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Outcome</w:t>
            </w:r>
          </w:p>
        </w:tc>
        <w:tc>
          <w:tcPr>
            <w:tcW w:type="dxa" w:w="313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What changed and why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Status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Issue senior non-preferred bonds while keeping the current A2 rating (2025 annual report)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 500m SNP issued in 1H 2026; Moody's affirmed the rating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1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Met: EUR 500m SNP issued at MS+1.28% while a EUR 300m senior bond at MS+4.471% was redeemed, so funding became cheaper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</w:pPr>
            <w:r>
              <w:rPr>
                <w:b/>
                <w:sz w:val="17"/>
              </w:rPr>
              <w:t>Met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Reduce CET1 capital by EUR 200.0m (approval received 2026-07)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Planned for Q4 2026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New plan: the ECB approved it on 2026-07-17. Capital is well above requirements (CET1 19.6%), so excess capital is returned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In progress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Owners: Blackstone-led consortium (80.05%) and DNB (19.95%) (2025 annual report)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Sale to OTP Bank (100%) announced 2026-07-20, approvals pending</w:t>
            </w:r>
            <w:hyperlink r:id="rId29">
              <w:r>
                <w:rPr>
                  <w:color w:val="2A78D6"/>
                  <w:vertAlign w:val="superscript"/>
                  <w:sz w:val="14"/>
                </w:rPr>
                <w:t xml:space="preserve">20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21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Changed: the owners agreed to sell 100% to OTP Bank; Moody's affirmed the rating and outlook after the announcement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F1D8"/>
          </w:tcPr>
          <w:p>
            <w:pPr>
              <w:spacing w:before="0" w:after="0"/>
            </w:pPr>
            <w:r>
              <w:rPr>
                <w:b/>
                <w:sz w:val="17"/>
              </w:rPr>
              <w:t>Revised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06</w:t>
        <w:tab/>
      </w:r>
      <w:r>
        <w:rPr>
          <w:b/>
          <w:color w:val="12355B"/>
          <w:sz w:val="28"/>
        </w:rPr>
        <w:t>Investor information &amp; conclusions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Instruments held:</w:t>
      </w:r>
      <w:r>
        <w:rPr>
          <w:b w:val="0"/>
        </w:rPr>
        <w:t xml:space="preserve"> two senior preferred bonds, 4.042% 2028 (issuer call at par 2027-09-10) and 3.551% 2029 (call 2028-06-12), and a 7.375% perpetual bond</w:t>
      </w:r>
      <w:hyperlink r:id="rId30">
        <w:r>
          <w:rPr>
            <w:color w:val="2A78D6"/>
            <w:vertAlign w:val="superscript"/>
            <w:sz w:val="17"/>
          </w:rPr>
          <w:t xml:space="preserve">22</w:t>
        </w:r>
      </w:hyperlink>
      <w:r>
        <w:rPr>
          <w:color w:val="2A78D6"/>
          <w:vertAlign w:val="superscript"/>
        </w:rPr>
        <w:t>,</w:t>
      </w:r>
      <w:hyperlink r:id="rId31">
        <w:r>
          <w:rPr>
            <w:color w:val="2A78D6"/>
            <w:vertAlign w:val="superscript"/>
            <w:sz w:val="17"/>
          </w:rPr>
          <w:t xml:space="preserve">23</w:t>
        </w:r>
      </w:hyperlink>
      <w:r>
        <w:rPr>
          <w:color w:val="2A78D6"/>
          <w:vertAlign w:val="superscript"/>
        </w:rPr>
        <w:t>,</w:t>
      </w:r>
      <w:hyperlink r:id="rId32">
        <w:r>
          <w:rPr>
            <w:color w:val="2A78D6"/>
            <w:vertAlign w:val="superscript"/>
            <w:sz w:val="17"/>
          </w:rPr>
          <w:t xml:space="preserve">24</w:t>
        </w:r>
      </w:hyperlink>
      <w:r>
        <w:rPr>
          <w:b w:val="0"/>
        </w:rPr>
        <w:t>. The 7.75% 2027 bond XS2633112565 had a call date of 2026-06-08 and Luminor redeemed this EUR 300m bond in 1H 2026, so it is no longer outstanding</w:t>
      </w:r>
      <w:hyperlink r:id="rId15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color w:val="2A78D6"/>
          <w:vertAlign w:val="superscript"/>
        </w:rPr>
        <w:t>,</w:t>
      </w:r>
      <w:hyperlink r:id="rId16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For bondholders:</w:t>
      </w:r>
      <w:r>
        <w:rPr>
          <w:b w:val="0"/>
        </w:rPr>
        <w:t xml:space="preserve"> capital and MREL buffers are well above requirements and liquidity has increased. The EUR 200m CET1 reduction will lower the buffer; the bank does not state the impact on the CET1 ratio in the sources</w:t>
      </w:r>
      <w:hyperlink r:id="rId16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OTP deal:</w:t>
      </w:r>
      <w:r>
        <w:rPr>
          <w:b w:val="0"/>
        </w:rPr>
        <w:t xml:space="preserve"> Moody's kept the rating and outlook after the announcement, so there is no rating impact so far</w:t>
      </w:r>
      <w:hyperlink r:id="rId12">
        <w:r>
          <w:rPr>
            <w:color w:val="2A78D6"/>
            <w:vertAlign w:val="superscript"/>
            <w:sz w:val="17"/>
          </w:rPr>
          <w:t xml:space="preserve">1</w:t>
        </w:r>
      </w:hyperlink>
      <w:r>
        <w:rPr>
          <w:b w:val="0"/>
        </w:rPr>
        <w:t>. Both held senior bonds can be called by the issuer at par, in 2027 and 2028</w:t>
      </w:r>
      <w:hyperlink r:id="rId30">
        <w:r>
          <w:rPr>
            <w:color w:val="2A78D6"/>
            <w:vertAlign w:val="superscript"/>
            <w:sz w:val="17"/>
          </w:rPr>
          <w:t xml:space="preserve">22</w:t>
        </w:r>
      </w:hyperlink>
      <w:r>
        <w:rPr>
          <w:color w:val="2A78D6"/>
          <w:vertAlign w:val="superscript"/>
        </w:rPr>
        <w:t>,</w:t>
      </w:r>
      <w:hyperlink r:id="rId31">
        <w:r>
          <w:rPr>
            <w:color w:val="2A78D6"/>
            <w:vertAlign w:val="superscript"/>
            <w:sz w:val="17"/>
          </w:rPr>
          <w:t xml:space="preserve">23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Conclusion:</w:t>
      </w:r>
      <w:r>
        <w:rPr>
          <w:b w:val="0"/>
        </w:rPr>
        <w:t xml:space="preserve"> profitability is declining (1H profit −21%), but capital, MREL and liquidity have large buffers. The key event for holders is the change of owner to OTP. Watch: 3Q report, OTP deal approvals, the Q4 capital reduction.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07</w:t>
        <w:tab/>
      </w:r>
      <w:r>
        <w:rPr>
          <w:b/>
          <w:color w:val="12355B"/>
          <w:sz w:val="28"/>
        </w:rPr>
        <w:t>Market and environment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Rates and competition:</w:t>
      </w:r>
      <w:r>
        <w:rPr>
          <w:b w:val="0"/>
        </w:rPr>
        <w:t xml:space="preserve"> net interest income +1.6% to EUR 111.2m on higher balances and deposit spreads as reference rates rose, offset by lower lending spreads due to competition; NIM 2.75% (2.95%)</w:t>
      </w:r>
      <w:hyperlink r:id="rId14">
        <w:r>
          <w:rPr>
            <w:color w:val="2A78D6"/>
            <w:vertAlign w:val="superscript"/>
            <w:sz w:val="17"/>
          </w:rPr>
          <w:t xml:space="preserve">3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Costs:</w:t>
      </w:r>
      <w:r>
        <w:rPr>
          <w:b w:val="0"/>
        </w:rPr>
        <w:t xml:space="preserve"> expenses +3.2% to EUR 90.5m, of which migration costs EUR 20.3m; personnel costs +16.6% from insourcing and hiring developers</w:t>
      </w:r>
      <w:hyperlink r:id="rId14">
        <w:r>
          <w:rPr>
            <w:color w:val="2A78D6"/>
            <w:vertAlign w:val="superscript"/>
            <w:sz w:val="17"/>
          </w:rPr>
          <w:t xml:space="preserve">3</w:t>
        </w:r>
      </w:hyperlink>
      <w:r>
        <w:rPr>
          <w:b w:val="0"/>
        </w:rPr>
        <w:t>. Most sector-specific taxes lapsed</w:t>
      </w:r>
      <w:hyperlink r:id="rId14">
        <w:r>
          <w:rPr>
            <w:color w:val="2A78D6"/>
            <w:vertAlign w:val="superscript"/>
            <w:sz w:val="17"/>
          </w:rPr>
          <w:t xml:space="preserve">3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Outlook:</w:t>
      </w:r>
      <w:r>
        <w:rPr>
          <w:b w:val="0"/>
        </w:rPr>
        <w:t xml:space="preserve"> management sees a positive outlook for the Baltics and plans a EUR 200m CET1 capital reduction in Q4</w:t>
      </w:r>
      <w:hyperlink r:id="rId33">
        <w:r>
          <w:rPr>
            <w:color w:val="2A78D6"/>
            <w:vertAlign w:val="superscript"/>
            <w:sz w:val="17"/>
          </w:rPr>
          <w:t xml:space="preserve">25</w:t>
        </w:r>
      </w:hyperlink>
      <w:r>
        <w:rPr>
          <w:b w:val="0"/>
        </w:rPr>
        <w:t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515"/>
        <w:gridCol w:w="1814"/>
        <w:gridCol w:w="1360"/>
        <w:gridCol w:w="1360"/>
        <w:gridCol w:w="1587"/>
      </w:tblGrid>
      <w:tr>
        <w:tc>
          <w:tcPr>
            <w:tcW w:type="dxa" w:w="351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</w:r>
          </w:p>
        </w:tc>
        <w:tc>
          <w:tcPr>
            <w:tcW w:type="dxa" w:w="18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Now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3 months ago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12 months ago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12-month change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ECB deposit facility rate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2.50%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2.25%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3-month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2.64%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2.34%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2.03%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0.61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6-month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2.92%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2.60%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2.10%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0.82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12-month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3.25%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2.80%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2.17%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1.08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area AAA government 10-year yield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3.37% (2026-10)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3.23%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2.72%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0.65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area inflation (HICP, annual)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1.90% (2025-12)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2.20%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2.40%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▼ 0.50 p. p.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Euro area rates and inflation (ECB data, end-of-month value; Euribor and inflation – monthly average). Relevant for floating-rate and reset bonds and refinancing costs.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08</w:t>
        <w:tab/>
      </w:r>
      <w:r>
        <w:rPr>
          <w:b/>
          <w:color w:val="12355B"/>
          <w:sz w:val="28"/>
        </w:rPr>
        <w:t>In the press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OTP deal:</w:t>
      </w:r>
      <w:r>
        <w:rPr>
          <w:b w:val="0"/>
        </w:rPr>
        <w:t xml:space="preserve"> on 2026-10-13 the European Commission cleared OTP Bank's acquisition of Luminor Holding</w:t>
      </w:r>
      <w:hyperlink r:id="rId34">
        <w:r>
          <w:rPr>
            <w:color w:val="2A78D6"/>
            <w:vertAlign w:val="superscript"/>
            <w:sz w:val="17"/>
          </w:rPr>
          <w:t xml:space="preserve">26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Attention – buyer's Russia links:</w:t>
      </w:r>
      <w:r>
        <w:rPr>
          <w:b w:val="0"/>
        </w:rPr>
        <w:t xml:space="preserve"> on 2026-09-28/29 the press (citing Bloomberg) reported that OTP's clients include companies linked to Gazprom and that OTP is considering a full exit from Russia. This concerns the buyer OTP, not Luminor's own business</w:t>
      </w:r>
      <w:hyperlink r:id="rId35">
        <w:r>
          <w:rPr>
            <w:color w:val="2A78D6"/>
            <w:vertAlign w:val="superscript"/>
            <w:sz w:val="17"/>
          </w:rPr>
          <w:t xml:space="preserve">27</w:t>
        </w:r>
      </w:hyperlink>
      <w:r>
        <w:rPr>
          <w:color w:val="2A78D6"/>
          <w:vertAlign w:val="superscript"/>
        </w:rPr>
        <w:t>,</w:t>
      </w:r>
      <w:hyperlink r:id="rId36">
        <w:r>
          <w:rPr>
            <w:color w:val="2A78D6"/>
            <w:vertAlign w:val="superscript"/>
            <w:sz w:val="17"/>
          </w:rPr>
          <w:t xml:space="preserve">28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Bonds:</w:t>
      </w:r>
      <w:r>
        <w:rPr>
          <w:b w:val="0"/>
        </w:rPr>
        <w:t xml:space="preserve"> on 2026-09-26 Latvian media reported that Luminor Bank is cancelling bonds worth EUR 500m; the headline does not name the issue</w:t>
      </w:r>
      <w:hyperlink r:id="rId37">
        <w:r>
          <w:rPr>
            <w:color w:val="2A78D6"/>
            <w:vertAlign w:val="superscript"/>
            <w:sz w:val="17"/>
          </w:rPr>
          <w:t xml:space="preserve">29</w:t>
        </w:r>
      </w:hyperlink>
      <w:r>
        <w:rPr>
          <w:b w:val="0"/>
        </w:rPr>
        <w:t>.</w:t>
      </w:r>
    </w:p>
    <w:p>
      <w:pPr>
        <w:spacing w:before="40" w:after="60"/>
      </w:pPr>
      <w:r>
        <w:rPr>
          <w:b w:val="0"/>
          <w:color w:val="667085"/>
          <w:sz w:val="18"/>
        </w:rPr>
        <w:t>Automatic news scan (Google News, EN, EE, LT, LV), 2026-08-01 – 2026-10-30: 41 articles.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20"/>
        <w:gridCol w:w="1360"/>
        <w:gridCol w:w="7257"/>
      </w:tblGrid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2026-09-29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B42318"/>
                <w:sz w:val="14"/>
                <w:shd w:val="clear" w:color="auto" w:fill="FDE7E5"/>
              </w:rPr>
              <w:t xml:space="preserve"> ATTENTION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5">
              <w:r>
                <w:rPr>
                  <w:color w:val="1B2430"/>
                  <w:sz w:val="18"/>
                </w:rPr>
                <w:t xml:space="preserve">Už „Luminor“ norinčio įsigyti vengrų OTP ryškėja Kremliaus šešėlis: tarp klientų – su „Gazprom“ siejamos įmonės</w:t>
              </w:r>
            </w:hyperlink>
            <w:r>
              <w:rPr>
                <w:b w:val="0"/>
                <w:color w:val="667085"/>
                <w:sz w:val="15"/>
              </w:rPr>
              <w:t xml:space="preserve">   15min.lt  ·  1 more similar articles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2026-10-29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9A6400"/>
                <w:sz w:val="14"/>
                <w:shd w:val="clear" w:color="auto" w:fill="FDF1D8"/>
              </w:rPr>
              <w:t xml:space="preserve"> DEAL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8">
              <w:r>
                <w:rPr>
                  <w:color w:val="1B2430"/>
                  <w:sz w:val="18"/>
                </w:rPr>
                <w:t xml:space="preserve">Luminor acquisition cleared for OTP Bank: target for OTP Bank stock is HUF 48,514.23</w:t>
              </w:r>
            </w:hyperlink>
            <w:r>
              <w:rPr>
                <w:b w:val="0"/>
                <w:color w:val="667085"/>
                <w:sz w:val="15"/>
              </w:rPr>
              <w:t xml:space="preserve">   ad-hoc-news.de  ·  9 more similar articles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2026-09-29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9A6400"/>
                <w:sz w:val="14"/>
                <w:shd w:val="clear" w:color="auto" w:fill="FDF1D8"/>
              </w:rPr>
              <w:t xml:space="preserve"> DEAL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6">
              <w:r>
                <w:rPr>
                  <w:color w:val="1B2430"/>
                  <w:sz w:val="18"/>
                </w:rPr>
                <w:t xml:space="preserve">Hungary’s OTP Bank weighs Russia exit amid Luminor purchase – report</w:t>
              </w:r>
            </w:hyperlink>
            <w:r>
              <w:rPr>
                <w:b w:val="0"/>
                <w:color w:val="667085"/>
                <w:sz w:val="15"/>
              </w:rPr>
              <w:t xml:space="preserve">   Retail Banker International  ·  2 more similar articles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2026-09-26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1F5FA8"/>
                <w:sz w:val="14"/>
                <w:shd w:val="clear" w:color="auto" w:fill="E6F0FB"/>
              </w:rPr>
              <w:t xml:space="preserve"> BONDS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7">
              <w:r>
                <w:rPr>
                  <w:color w:val="1B2430"/>
                  <w:sz w:val="18"/>
                </w:rPr>
                <w:t xml:space="preserve">"Luminor Bank" anulē obligācijas 500 miljonu eiro vērtībā</w:t>
              </w:r>
            </w:hyperlink>
            <w:r>
              <w:rPr>
                <w:b w:val="0"/>
                <w:color w:val="667085"/>
                <w:sz w:val="15"/>
              </w:rPr>
              <w:t xml:space="preserve">   tv3.lv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2026-10-23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MANAGEMENT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9">
              <w:r>
                <w:rPr>
                  <w:color w:val="1B2430"/>
                  <w:sz w:val="18"/>
                </w:rPr>
                <w:t xml:space="preserve">„Luminor“ privačios bankininkystės vadovo asmeninis portfelis: renkuosi sritis, kurias gerai išmanau ir kurios man įdomios</w:t>
              </w:r>
            </w:hyperlink>
            <w:r>
              <w:rPr>
                <w:b w:val="0"/>
                <w:color w:val="667085"/>
                <w:sz w:val="15"/>
              </w:rPr>
              <w:t xml:space="preserve">   vz.lt  ·  2 more similar articles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2026-10-08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MANAGEMENT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40">
              <w:r>
                <w:rPr>
                  <w:color w:val="1B2430"/>
                  <w:sz w:val="18"/>
                </w:rPr>
                <w:t xml:space="preserve">„Luminor“ privačios bankininkystės vadovas nepasitiki politiniais sprendimais: II pensijų pakopos pinigus valdys pats</w:t>
              </w:r>
            </w:hyperlink>
            <w:r>
              <w:rPr>
                <w:b w:val="0"/>
                <w:color w:val="667085"/>
                <w:sz w:val="15"/>
              </w:rPr>
              <w:t xml:space="preserve">   vz.lt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2026-10-20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1F4E79"/>
                <w:sz w:val="14"/>
                <w:shd w:val="clear" w:color="auto" w:fill="EAF1F8"/>
              </w:rPr>
              <w:t xml:space="preserve"> RESULTS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41">
              <w:r>
                <w:rPr>
                  <w:color w:val="1B2430"/>
                  <w:sz w:val="18"/>
                </w:rPr>
                <w:t xml:space="preserve">Luminor posts 157 million euro profit for 2025 / Article</w:t>
              </w:r>
            </w:hyperlink>
            <w:r>
              <w:rPr>
                <w:b w:val="0"/>
                <w:color w:val="667085"/>
                <w:sz w:val="15"/>
              </w:rPr>
              <w:t xml:space="preserve">   Latvian Public Media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2026-10-26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42">
              <w:r>
                <w:rPr>
                  <w:color w:val="1B2430"/>
                  <w:sz w:val="18"/>
                </w:rPr>
                <w:t xml:space="preserve">„Luminor“ bankas informuoja apie darbo laiko pokyčius Vėlinių laikotarpiu</w:t>
              </w:r>
            </w:hyperlink>
            <w:r>
              <w:rPr>
                <w:b w:val="0"/>
                <w:color w:val="667085"/>
                <w:sz w:val="15"/>
              </w:rPr>
              <w:t xml:space="preserve">   Delfi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2026-10-24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43">
              <w:r>
                <w:rPr>
                  <w:color w:val="1B2430"/>
                  <w:sz w:val="18"/>
                </w:rPr>
                <w:t xml:space="preserve">Luminor Financial Holdings Limited Estimates – SGX:5UA</w:t>
              </w:r>
            </w:hyperlink>
            <w:r>
              <w:rPr>
                <w:b w:val="0"/>
                <w:color w:val="667085"/>
                <w:sz w:val="15"/>
              </w:rPr>
              <w:t xml:space="preserve">   TradingView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2026-10-23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44">
              <w:r>
                <w:rPr>
                  <w:color w:val="1B2430"/>
                  <w:sz w:val="18"/>
                </w:rPr>
                <w:t xml:space="preserve">Latvia's President and PM comment on potential Luminor sale / Article</w:t>
              </w:r>
            </w:hyperlink>
            <w:r>
              <w:rPr>
                <w:b w:val="0"/>
                <w:color w:val="667085"/>
                <w:sz w:val="15"/>
              </w:rPr>
              <w:t xml:space="preserve">   Latvian Public Media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09</w:t>
        <w:tab/>
      </w:r>
      <w:r>
        <w:rPr>
          <w:b/>
          <w:color w:val="12355B"/>
          <w:sz w:val="28"/>
        </w:rPr>
        <w:t>ESG report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Exclusionary screening (companies)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involved in excluded sectors: controversial and nuclear weapons, tobacco, gambling and restricted sectors in fossil fuel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bank is not active in excluded sectors.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Sustainable real estate and renewable energy lending is growing (EUR 305.4m in 2025)</w:t>
            </w:r>
            <w:hyperlink r:id="rId45">
              <w:r>
                <w:rPr>
                  <w:color w:val="2A78D6"/>
                  <w:vertAlign w:val="superscript"/>
                  <w:sz w:val="15"/>
                </w:rPr>
                <w:t xml:space="preserve">30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red flag/signal related to controversies based on UN Global Compact, OECD Guidelines for Multinational Enterprises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UN Global Compact or OECD related controversies found in public sources and the news scan (2026-10-22).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AML fines reported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only regulatory note in 2025 was a Finantsinspektsioon precept on basic payment service procedures</w:t>
            </w:r>
            <w:hyperlink r:id="rId46">
              <w:r>
                <w:rPr>
                  <w:color w:val="2A78D6"/>
                  <w:vertAlign w:val="superscript"/>
                  <w:sz w:val="15"/>
                </w:rPr>
                <w:t xml:space="preserve">31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 the list of sanctions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Not found on the EU, UN, US OFAC consolidated sanctions lists (automatic check 2026-10-30).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Namesake on the lists: Luminor Oy – a Finnish logistics company linked to Siberica Oy (per the EU list entry for Gabriel Temin), not Luminor Bank AS.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Namesake on the lists: Luminor Logistics – an alias in the same US OFAC entry group as Luminor Oy and Siberica Oy (logistics), not Luminor Bank AS.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Manual check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OFAC sanctions search</w:t>
            </w:r>
            <w:hyperlink r:id="rId47">
              <w:r>
                <w:rPr>
                  <w:color w:val="2A78D6"/>
                  <w:vertAlign w:val="superscript"/>
                  <w:sz w:val="15"/>
                </w:rPr>
                <w:t xml:space="preserve">32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EU Sanctions Map</w:t>
            </w:r>
            <w:hyperlink r:id="rId48">
              <w:r>
                <w:rPr>
                  <w:color w:val="2A78D6"/>
                  <w:vertAlign w:val="superscript"/>
                  <w:sz w:val="15"/>
                </w:rPr>
                <w:t xml:space="preserve">33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SEB eNameChecker (internal SEB system).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issues were not identified from adverse media checks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adverse news about Luminor itself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Most news is about the OTP Bank deal.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On 2026-09-28/29 the press wrote about links of the buyer OTP's clients to Russia – this concerns the buyer, not Luminor's business</w:t>
            </w:r>
            <w:hyperlink r:id="rId35">
              <w:r>
                <w:rPr>
                  <w:color w:val="2A78D6"/>
                  <w:vertAlign w:val="superscript"/>
                  <w:sz w:val="15"/>
                </w:rPr>
                <w:t xml:space="preserve">27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36">
              <w:r>
                <w:rPr>
                  <w:color w:val="2A78D6"/>
                  <w:vertAlign w:val="superscript"/>
                  <w:sz w:val="15"/>
                </w:rPr>
                <w:t xml:space="preserve">28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News summary 2026-08-01 – 2026-10-30: 41 articles, 1 with an adverse keyword in the headline (details in the section "In the press").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Headlines with an adverse keyword: „Už „Luminor“ norinčio įsigyti vengrų OTP ryškėja Kremliaus šešėlis: tarp klientų – su „Gazprom“ siejamos įmonės“ (15min.lt, 2026-09-29).</w:t>
            </w:r>
          </w:p>
        </w:tc>
      </w:tr>
    </w:tbl>
    <w:p>
      <w:pPr>
        <w:spacing w:before="120" w:after="40"/>
      </w:pPr>
      <w:r>
        <w:rPr>
          <w:i/>
          <w:color w:val="333333"/>
          <w:sz w:val="18"/>
        </w:rPr>
        <w:t>In case any red flags, risks, unclarities were identified then additional checks (sanctions screening and adverse media checks) on the company’s Ultimate Beneficial Owners and/or senior management shall be performed.</w:t>
      </w:r>
    </w:p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ESG integration and positive screening (positive answers imply higher allocation)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promoting environmental or social characteristics (activities, ESG policy, good ESG rating, etc)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Sustainable real estate and renewable energy lending EUR 305.4m in 2025 (EUR 182.4m in 2024), target EUR 700m by 2030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Green or sustainability-linked bonds 7.4% of the bond portfolio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Sustainalytics ESG risk rating 18.4 (low risk)</w:t>
            </w:r>
            <w:hyperlink r:id="rId45">
              <w:r>
                <w:rPr>
                  <w:color w:val="2A78D6"/>
                  <w:vertAlign w:val="superscript"/>
                  <w:sz w:val="15"/>
                </w:rPr>
                <w:t xml:space="preserve">30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activities of the company or it’s strategy is aligned with the taxonomy and/or Paris agreement targets (e.g. net zero commitment)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Target to become climate neutral by 2050</w:t>
            </w:r>
            <w:hyperlink r:id="rId45">
              <w:r>
                <w:rPr>
                  <w:color w:val="2A78D6"/>
                  <w:vertAlign w:val="superscript"/>
                  <w:sz w:val="15"/>
                </w:rPr>
                <w:t xml:space="preserve">30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Financed emissions measured with the PCAF method</w:t>
            </w:r>
            <w:hyperlink r:id="rId49">
              <w:r>
                <w:rPr>
                  <w:color w:val="2A78D6"/>
                  <w:vertAlign w:val="superscript"/>
                  <w:sz w:val="15"/>
                </w:rPr>
                <w:t xml:space="preserve">34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Green or sustainability-linked bonds 7.4% of the bond portfolio, target 50% by 2030</w:t>
            </w:r>
            <w:hyperlink r:id="rId45">
              <w:r>
                <w:rPr>
                  <w:color w:val="2A78D6"/>
                  <w:vertAlign w:val="superscript"/>
                  <w:sz w:val="15"/>
                </w:rPr>
                <w:t xml:space="preserve">30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yellow flag/signal related to controversies based on UN Global Compact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yellow flags found.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Ownership will move to OTP Bank (Hungary) once approvals are received</w:t>
            </w:r>
            <w:hyperlink r:id="rId17">
              <w:r>
                <w:rPr>
                  <w:color w:val="2A78D6"/>
                  <w:vertAlign w:val="superscript"/>
                  <w:sz w:val="15"/>
                </w:rPr>
                <w:t xml:space="preserve">21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fulfills the expectations from SEB thematic and sector policies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Applicable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SEB sector policy for banks, so the Investments policy and the Environmental and Social &amp; Human Rights policies apply</w:t>
            </w:r>
            <w:hyperlink r:id="rId50">
              <w:r>
                <w:rPr>
                  <w:color w:val="2A78D6"/>
                  <w:vertAlign w:val="superscript"/>
                  <w:sz w:val="15"/>
                </w:rPr>
                <w:t xml:space="preserve">35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Met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breach of governance or international norms found (quick search, 2026-10-22)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Financed emissions disclosed using PCAF (Scope 3 3.2m t CO2e in 2025)</w:t>
            </w:r>
            <w:hyperlink r:id="rId49">
              <w:r>
                <w:rPr>
                  <w:color w:val="2A78D6"/>
                  <w:vertAlign w:val="superscript"/>
                  <w:sz w:val="15"/>
                </w:rPr>
                <w:t xml:space="preserve">34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Climate neutrality target for 2050</w:t>
            </w:r>
            <w:hyperlink r:id="rId45">
              <w:r>
                <w:rPr>
                  <w:color w:val="2A78D6"/>
                  <w:vertAlign w:val="superscript"/>
                  <w:sz w:val="15"/>
                </w:rPr>
                <w:t xml:space="preserve">30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Sustainable real estate and renewable lending EUR 305.4m, target EUR 700m by 2030</w:t>
            </w:r>
            <w:hyperlink r:id="rId45">
              <w:r>
                <w:rPr>
                  <w:color w:val="2A78D6"/>
                  <w:vertAlign w:val="superscript"/>
                  <w:sz w:val="15"/>
                </w:rPr>
                <w:t xml:space="preserve">30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Sustainalytics ESG risk rating 18.4 (low risk)</w:t>
            </w:r>
            <w:hyperlink r:id="rId45">
              <w:r>
                <w:rPr>
                  <w:color w:val="2A78D6"/>
                  <w:vertAlign w:val="superscript"/>
                  <w:sz w:val="15"/>
                </w:rPr>
                <w:t xml:space="preserve">30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Human rights commitment</w:t>
            </w:r>
            <w:hyperlink r:id="rId51">
              <w:r>
                <w:rPr>
                  <w:color w:val="2A78D6"/>
                  <w:vertAlign w:val="superscript"/>
                  <w:sz w:val="15"/>
                </w:rPr>
                <w:t xml:space="preserve">36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AML and sanctions compliance</w:t>
            </w:r>
            <w:hyperlink r:id="rId51">
              <w:r>
                <w:rPr>
                  <w:color w:val="2A78D6"/>
                  <w:vertAlign w:val="superscript"/>
                  <w:sz w:val="15"/>
                </w:rPr>
                <w:t xml:space="preserve">36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Anti-bribery measures and whistleblowing channels</w:t>
            </w:r>
            <w:hyperlink r:id="rId52">
              <w:r>
                <w:rPr>
                  <w:color w:val="2A78D6"/>
                  <w:vertAlign w:val="superscript"/>
                  <w:sz w:val="15"/>
                </w:rPr>
                <w:t xml:space="preserve">37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Could be improved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public lending exclusion list (coal, oil &amp; gas, weapons) or UN Global Compact membership found.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Engagement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Is there a need for pro-active engagement with the company?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need: capital, liquidity and ESG practices are solid.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Indicators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indicators of the company support the targets of sustainability and PAI indicators followed by the Fund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Financed emissions (Scope 3) 3.2m t CO2e in 2025, PCAF method</w:t>
            </w:r>
            <w:hyperlink r:id="rId49">
              <w:r>
                <w:rPr>
                  <w:color w:val="2A78D6"/>
                  <w:vertAlign w:val="superscript"/>
                  <w:sz w:val="15"/>
                </w:rPr>
                <w:t xml:space="preserve">34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Women on the Supervisory Council 33.3% (target 40%)</w:t>
            </w:r>
            <w:hyperlink r:id="rId53">
              <w:r>
                <w:rPr>
                  <w:color w:val="2A78D6"/>
                  <w:vertAlign w:val="superscript"/>
                  <w:sz w:val="15"/>
                </w:rPr>
                <w:t xml:space="preserve">38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Sustainalytics ESG risk rating 18.4, low risk</w:t>
            </w:r>
            <w:hyperlink r:id="rId45">
              <w:r>
                <w:rPr>
                  <w:color w:val="2A78D6"/>
                  <w:vertAlign w:val="superscript"/>
                  <w:sz w:val="15"/>
                </w:rPr>
                <w:t xml:space="preserve">30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spacing w:before="120" w:after="40"/>
      </w:pPr>
      <w:r>
        <w:rPr>
          <w:b/>
          <w:sz w:val="19"/>
        </w:rPr>
        <w:t xml:space="preserve">Conclusion: </w:t>
      </w:r>
      <w:r>
        <w:rPr>
          <w:b w:val="0"/>
          <w:sz w:val="19"/>
        </w:rPr>
        <w:t>No exclusions or red flags. Solid ESG practice: financed emissions measured (PCAF), climate-neutrality target, growing green lending and a low ESG risk rating. Ownership moves to OTP Bank.</w:t>
      </w:r>
    </w:p>
    <w:p>
      <w:pPr>
        <w:spacing w:before="40" w:after="60"/>
      </w:pPr>
      <w:r>
        <w:rPr>
          <w:b w:val="0"/>
          <w:color w:val="667085"/>
          <w:sz w:val="16"/>
        </w:rPr>
        <w:t>SEB policies applied: Policy on Sustainability Considerations in Investments (SEB AB); Financial sector - no dedicated SEB sector policy (thematic policies applied); Environmental Policy on Climate, Nature and Water (thematic); Social and Human Rights Policy (thematic); Governance expectations in sector policies (anti-corruption, tax, reporting)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10</w:t>
        <w:tab/>
      </w:r>
      <w:r>
        <w:rPr>
          <w:b/>
          <w:color w:val="12355B"/>
          <w:sz w:val="28"/>
        </w:rPr>
        <w:t>Sources</w:t>
      </w:r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1.</w:t>
        <w:tab/>
      </w:r>
      <w:hyperlink r:id="rId12">
        <w:r>
          <w:rPr>
            <w:color w:val="2A78D6"/>
            <w:sz w:val="17"/>
          </w:rPr>
          <w:t xml:space="preserve">Luminor Bank - Interim report 2Q 2026, p. 15, 2026-08-11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2.</w:t>
        <w:tab/>
      </w:r>
      <w:hyperlink r:id="rId13">
        <w:r>
          <w:rPr>
            <w:color w:val="2A78D6"/>
            <w:sz w:val="17"/>
          </w:rPr>
          <w:t xml:space="preserve">Luminor Bank - Annual report 2025, p. 9,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3.</w:t>
        <w:tab/>
      </w:r>
      <w:hyperlink r:id="rId14">
        <w:r>
          <w:rPr>
            <w:color w:val="2A78D6"/>
            <w:sz w:val="17"/>
          </w:rPr>
          <w:t xml:space="preserve">Luminor Bank - Interim report 2Q 2026, p. 5, 2026-08-11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4.</w:t>
        <w:tab/>
      </w:r>
      <w:hyperlink r:id="rId15">
        <w:r>
          <w:rPr>
            <w:color w:val="2A78D6"/>
            <w:sz w:val="17"/>
          </w:rPr>
          <w:t xml:space="preserve">Final Terms Series 11 - 7.750% notes XS2633112565, 2023-06-06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5.</w:t>
        <w:tab/>
      </w:r>
      <w:hyperlink r:id="rId16">
        <w:r>
          <w:rPr>
            <w:color w:val="2A78D6"/>
            <w:sz w:val="17"/>
          </w:rPr>
          <w:t xml:space="preserve">Luminor Bank - Interim report 2Q 2026, 2026-08-11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6.</w:t>
        <w:tab/>
      </w:r>
      <w:hyperlink r:id="rId14">
        <w:r>
          <w:rPr>
            <w:color w:val="2A78D6"/>
            <w:sz w:val="17"/>
          </w:rPr>
          <w:t xml:space="preserve">Luminor Bank - Interim report 2Q 2026, p. 5, 16, 2026-08-11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7.</w:t>
        <w:tab/>
      </w:r>
      <w:hyperlink r:id="rId17">
        <w:r>
          <w:rPr>
            <w:color w:val="2A78D6"/>
            <w:sz w:val="17"/>
          </w:rPr>
          <w:t xml:space="preserve">Luminor Bank - Interim report 2Q 2026, p. 4, 15, 2026-08-11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8.</w:t>
        <w:tab/>
      </w:r>
      <w:hyperlink r:id="rId17">
        <w:r>
          <w:rPr>
            <w:color w:val="2A78D6"/>
            <w:sz w:val="17"/>
          </w:rPr>
          <w:t xml:space="preserve">Luminor Bank - Interim report 2Q 2026, p. 4, 8, 2026-08-11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9.</w:t>
        <w:tab/>
      </w:r>
      <w:hyperlink r:id="rId18">
        <w:r>
          <w:rPr>
            <w:color w:val="2A78D6"/>
            <w:sz w:val="17"/>
          </w:rPr>
          <w:t xml:space="preserve">Luminor Bank - Annual report 2025, p. 7,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10.</w:t>
        <w:tab/>
      </w:r>
      <w:hyperlink r:id="rId19">
        <w:r>
          <w:rPr>
            <w:color w:val="2A78D6"/>
            <w:sz w:val="17"/>
          </w:rPr>
          <w:t xml:space="preserve">Luminor Bank - Interim report 2Q 2026, p. 16, 2026-08-11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11.</w:t>
        <w:tab/>
      </w:r>
      <w:hyperlink r:id="rId20">
        <w:r>
          <w:rPr>
            <w:color w:val="2A78D6"/>
            <w:sz w:val="17"/>
          </w:rPr>
          <w:t xml:space="preserve">Luminor Bank - Annual report 2025, p. 2,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12.</w:t>
        <w:tab/>
      </w:r>
      <w:hyperlink r:id="rId21">
        <w:r>
          <w:rPr>
            <w:color w:val="2A78D6"/>
            <w:sz w:val="17"/>
          </w:rPr>
          <w:t xml:space="preserve">Luminor Bank - Interim report 2Q 2026, p. 9, 2026-08-11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13.</w:t>
        <w:tab/>
      </w:r>
      <w:hyperlink r:id="rId22">
        <w:r>
          <w:rPr>
            <w:color w:val="2A78D6"/>
            <w:sz w:val="17"/>
          </w:rPr>
          <w:t xml:space="preserve">Luminor Bank - Annual report 2025, p. 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14.</w:t>
        <w:tab/>
      </w:r>
      <w:hyperlink r:id="rId23">
        <w:r>
          <w:rPr>
            <w:color w:val="2A78D6"/>
            <w:sz w:val="17"/>
          </w:rPr>
          <w:t xml:space="preserve">Luminor Bank - Interim report 2Q 2026, p. 6, 2026-08-11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15.</w:t>
        <w:tab/>
      </w:r>
      <w:hyperlink r:id="rId24">
        <w:r>
          <w:rPr>
            <w:color w:val="2A78D6"/>
            <w:sz w:val="17"/>
          </w:rPr>
          <w:t xml:space="preserve">Luminor Bank - Interim report 2Q 2026, p. 7, 2026-08-11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16.</w:t>
        <w:tab/>
      </w:r>
      <w:hyperlink r:id="rId25">
        <w:r>
          <w:rPr>
            <w:color w:val="2A78D6"/>
            <w:sz w:val="17"/>
          </w:rPr>
          <w:t xml:space="preserve">Luminor Bank - Annual report 2025, p. 10,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17.</w:t>
        <w:tab/>
      </w:r>
      <w:hyperlink r:id="rId26">
        <w:r>
          <w:rPr>
            <w:color w:val="2A78D6"/>
            <w:sz w:val="17"/>
          </w:rPr>
          <w:t xml:space="preserve">Luminor Bank - Interim report 2Q 2026, p. 8, 2026-08-11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18.</w:t>
        <w:tab/>
      </w:r>
      <w:hyperlink r:id="rId18">
        <w:r>
          <w:rPr>
            <w:color w:val="2A78D6"/>
            <w:sz w:val="17"/>
          </w:rPr>
          <w:t xml:space="preserve">Luminor Bank - Annual report 2025, p. 7-8,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19.</w:t>
        <w:tab/>
      </w:r>
      <w:hyperlink r:id="rId28">
        <w:r>
          <w:rPr>
            <w:color w:val="2A78D6"/>
            <w:sz w:val="17"/>
          </w:rPr>
          <w:t xml:space="preserve">Luminor Bank - Annual report 2025,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20.</w:t>
        <w:tab/>
      </w:r>
      <w:hyperlink r:id="rId29">
        <w:r>
          <w:rPr>
            <w:color w:val="2A78D6"/>
            <w:sz w:val="17"/>
          </w:rPr>
          <w:t xml:space="preserve">Luminor Bank - Annual report 2025, p. 5,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21.</w:t>
        <w:tab/>
      </w:r>
      <w:hyperlink r:id="rId17">
        <w:r>
          <w:rPr>
            <w:color w:val="2A78D6"/>
            <w:sz w:val="17"/>
          </w:rPr>
          <w:t xml:space="preserve">Luminor Bank - Interim report 2Q 2026, p. 4, 2026-08-11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22.</w:t>
        <w:tab/>
      </w:r>
      <w:hyperlink r:id="rId30">
        <w:r>
          <w:rPr>
            <w:color w:val="2A78D6"/>
            <w:sz w:val="17"/>
          </w:rPr>
          <w:t xml:space="preserve">Final Terms Series 13 - 4.042% notes XS2888497067, 2024-09-06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23.</w:t>
        <w:tab/>
      </w:r>
      <w:hyperlink r:id="rId31">
        <w:r>
          <w:rPr>
            <w:color w:val="2A78D6"/>
            <w:sz w:val="17"/>
          </w:rPr>
          <w:t xml:space="preserve">Final Terms Series 15 - 3.551% notes XS3079969104, 2025-06-10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24.</w:t>
        <w:tab/>
      </w:r>
      <w:hyperlink r:id="rId32">
        <w:r>
          <w:rPr>
            <w:color w:val="2A78D6"/>
            <w:sz w:val="17"/>
          </w:rPr>
          <w:t xml:space="preserve">Luminor - Primary placements (bond list), 2026-09-28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25.</w:t>
        <w:tab/>
      </w:r>
      <w:hyperlink r:id="rId33">
        <w:r>
          <w:rPr>
            <w:color w:val="2A78D6"/>
            <w:sz w:val="17"/>
          </w:rPr>
          <w:t xml:space="preserve">Luminor Bank - Interim report 2Q 2026, p. 3, 2026-08-11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26.</w:t>
        <w:tab/>
      </w:r>
      <w:hyperlink r:id="rId34">
        <w:r>
          <w:rPr>
            <w:color w:val="2A78D6"/>
            <w:sz w:val="17"/>
          </w:rPr>
          <w:t xml:space="preserve">marketscreener.com – European Commission Clears OTP Bank's Acquisition of Luminor Holding, 2026-10-13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27.</w:t>
        <w:tab/>
      </w:r>
      <w:hyperlink r:id="rId35">
        <w:r>
          <w:rPr>
            <w:color w:val="2A78D6"/>
            <w:sz w:val="17"/>
          </w:rPr>
          <w:t xml:space="preserve">15min.lt – Už „Luminor“ norinčio įsigyti vengrų OTP ryškėja Kremliaus šešėlis: tarp klientų – su „Gazprom“ siejamos įmonės, 2026-09-29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28.</w:t>
        <w:tab/>
      </w:r>
      <w:hyperlink r:id="rId36">
        <w:r>
          <w:rPr>
            <w:color w:val="2A78D6"/>
            <w:sz w:val="17"/>
          </w:rPr>
          <w:t xml:space="preserve">Retail Banker International – Hungary’s OTP Bank weighs Russia exit amid Luminor purchase – report, 2026-09-29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29.</w:t>
        <w:tab/>
      </w:r>
      <w:hyperlink r:id="rId37">
        <w:r>
          <w:rPr>
            <w:color w:val="2A78D6"/>
            <w:sz w:val="17"/>
          </w:rPr>
          <w:t xml:space="preserve">tv3.lv – "Luminor Bank" anulē obligācijas 500 miljonu eiro vērtībā, 2026-09-26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30.</w:t>
        <w:tab/>
      </w:r>
      <w:hyperlink r:id="rId45">
        <w:r>
          <w:rPr>
            <w:color w:val="2A78D6"/>
            <w:sz w:val="17"/>
          </w:rPr>
          <w:t xml:space="preserve">Luminor Bank - Annual report 2025, p. 19,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31.</w:t>
        <w:tab/>
      </w:r>
      <w:hyperlink r:id="rId46">
        <w:r>
          <w:rPr>
            <w:color w:val="2A78D6"/>
            <w:sz w:val="17"/>
          </w:rPr>
          <w:t xml:space="preserve">Luminor Bank - Annual report 2025, p. 16,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32.</w:t>
        <w:tab/>
      </w:r>
      <w:hyperlink r:id="rId47">
        <w:r>
          <w:rPr>
            <w:color w:val="2A78D6"/>
            <w:sz w:val="17"/>
          </w:rPr>
          <w:t xml:space="preserve">OFAC Sanctions List Search (US Treasury)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33.</w:t>
        <w:tab/>
      </w:r>
      <w:hyperlink r:id="rId48">
        <w:r>
          <w:rPr>
            <w:color w:val="2A78D6"/>
            <w:sz w:val="17"/>
          </w:rPr>
          <w:t xml:space="preserve">EU Sanctions Map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34.</w:t>
        <w:tab/>
      </w:r>
      <w:hyperlink r:id="rId49">
        <w:r>
          <w:rPr>
            <w:color w:val="2A78D6"/>
            <w:sz w:val="17"/>
          </w:rPr>
          <w:t xml:space="preserve">Luminor Bank - Annual report 2025, p. 22,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35.</w:t>
        <w:tab/>
      </w:r>
      <w:hyperlink r:id="rId50">
        <w:r>
          <w:rPr>
            <w:color w:val="2A78D6"/>
            <w:sz w:val="17"/>
          </w:rPr>
          <w:t xml:space="preserve">SEB Policy on Sustainability Considerations in Investments (2026-04-15), p. 5, 7, 2026-04-15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36.</w:t>
        <w:tab/>
      </w:r>
      <w:hyperlink r:id="rId51">
        <w:r>
          <w:rPr>
            <w:color w:val="2A78D6"/>
            <w:sz w:val="17"/>
          </w:rPr>
          <w:t xml:space="preserve">Luminor Bank - Annual report 2025, p. 18,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37.</w:t>
        <w:tab/>
      </w:r>
      <w:hyperlink r:id="rId52">
        <w:r>
          <w:rPr>
            <w:color w:val="2A78D6"/>
            <w:sz w:val="17"/>
          </w:rPr>
          <w:t xml:space="preserve">Luminor Bank - Annual report 2025, p. 23, 28,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38.</w:t>
        <w:tab/>
      </w:r>
      <w:hyperlink r:id="rId53">
        <w:r>
          <w:rPr>
            <w:color w:val="2A78D6"/>
            <w:sz w:val="17"/>
          </w:rPr>
          <w:t xml:space="preserve">Luminor Bank - Annual report 2025, p. 29, 2026</w:t>
        </w:r>
      </w:hyperlink>
    </w:p>
    <w:p>
      <w:pPr>
        <w:spacing w:before="40" w:after="60"/>
      </w:pPr>
      <w:r>
        <w:rPr>
          <w:b w:val="0"/>
          <w:color w:val="667085"/>
          <w:sz w:val="16"/>
        </w:rPr>
        <w:t>Report prepared from public sources. Figures are as published by the issuer; small numbers next to the text point to the source list.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20" w:right="1134" w:bottom="1020" w:left="1134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Luminor Bank · 1H2026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Luminor Bank · 1H2026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color="D5DCE4" w:space="4"/>
      </w:pBdr>
      <w:tabs>
        <w:tab w:pos="9638" w:val="right"/>
      </w:tabs>
    </w:pPr>
    <w:r>
      <w:rPr>
        <w:b/>
        <w:color w:val="12355B"/>
        <w:sz w:val="16"/>
      </w:rPr>
      <w:t>Luminor Bank</w:t>
    </w:r>
    <w:r>
      <w:rPr>
        <w:b w:val="0"/>
        <w:color w:val="667085"/>
        <w:sz w:val="16"/>
      </w:rPr>
      <w:tab/>
      <w:t>Issuer review · 1H2026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luminor.lv/sites/default/files/docs/finansu_parskati/luminor_bank_interim_report_2q26.pdf#page=15" TargetMode="External"/><Relationship Id="rId13" Type="http://schemas.openxmlformats.org/officeDocument/2006/relationships/hyperlink" Target="https://luminor.lv/sites/default/files/docs/finansu_parskati/luminor_bank_annual_report_2025-lv.pdf#page=9" TargetMode="External"/><Relationship Id="rId14" Type="http://schemas.openxmlformats.org/officeDocument/2006/relationships/hyperlink" Target="https://luminor.lv/sites/default/files/docs/finansu_parskati/luminor_bank_interim_report_2q26.pdf#page=5" TargetMode="External"/><Relationship Id="rId15" Type="http://schemas.openxmlformats.org/officeDocument/2006/relationships/hyperlink" Target="https://luminor.ee/s3fs-public/documents/final-terms-11.pdf" TargetMode="External"/><Relationship Id="rId16" Type="http://schemas.openxmlformats.org/officeDocument/2006/relationships/hyperlink" Target="https://luminor.lv/sites/default/files/docs/finansu_parskati/luminor_bank_interim_report_2q26.pdf" TargetMode="External"/><Relationship Id="rId17" Type="http://schemas.openxmlformats.org/officeDocument/2006/relationships/hyperlink" Target="https://luminor.lv/sites/default/files/docs/finansu_parskati/luminor_bank_interim_report_2q26.pdf#page=4" TargetMode="External"/><Relationship Id="rId18" Type="http://schemas.openxmlformats.org/officeDocument/2006/relationships/hyperlink" Target="https://luminor.lv/sites/default/files/docs/finansu_parskati/luminor_bank_annual_report_2025-lv.pdf#page=7" TargetMode="External"/><Relationship Id="rId19" Type="http://schemas.openxmlformats.org/officeDocument/2006/relationships/hyperlink" Target="https://luminor.lv/sites/default/files/docs/finansu_parskati/luminor_bank_interim_report_2q26.pdf#page=16" TargetMode="External"/><Relationship Id="rId20" Type="http://schemas.openxmlformats.org/officeDocument/2006/relationships/hyperlink" Target="https://luminor.lv/sites/default/files/docs/finansu_parskati/luminor_bank_annual_report_2025-lv.pdf#page=2" TargetMode="External"/><Relationship Id="rId21" Type="http://schemas.openxmlformats.org/officeDocument/2006/relationships/hyperlink" Target="https://luminor.lv/sites/default/files/docs/finansu_parskati/luminor_bank_interim_report_2q26.pdf#page=9" TargetMode="External"/><Relationship Id="rId22" Type="http://schemas.openxmlformats.org/officeDocument/2006/relationships/hyperlink" Target="https://luminor.lv/sites/default/files/docs/finansu_parskati/luminor_bank_annual_report_2025-lv.pdf#page=8" TargetMode="External"/><Relationship Id="rId23" Type="http://schemas.openxmlformats.org/officeDocument/2006/relationships/hyperlink" Target="https://luminor.lv/sites/default/files/docs/finansu_parskati/luminor_bank_interim_report_2q26.pdf#page=6" TargetMode="External"/><Relationship Id="rId24" Type="http://schemas.openxmlformats.org/officeDocument/2006/relationships/hyperlink" Target="https://luminor.lv/sites/default/files/docs/finansu_parskati/luminor_bank_interim_report_2q26.pdf#page=7" TargetMode="External"/><Relationship Id="rId25" Type="http://schemas.openxmlformats.org/officeDocument/2006/relationships/hyperlink" Target="https://luminor.lv/sites/default/files/docs/finansu_parskati/luminor_bank_annual_report_2025-lv.pdf#page=10" TargetMode="External"/><Relationship Id="rId26" Type="http://schemas.openxmlformats.org/officeDocument/2006/relationships/hyperlink" Target="https://luminor.lv/sites/default/files/docs/finansu_parskati/luminor_bank_interim_report_2q26.pdf#page=8" TargetMode="External"/><Relationship Id="rId27" Type="http://schemas.openxmlformats.org/officeDocument/2006/relationships/image" Target="media/image1.png"/><Relationship Id="rId28" Type="http://schemas.openxmlformats.org/officeDocument/2006/relationships/hyperlink" Target="https://luminor.lv/sites/default/files/docs/finansu_parskati/luminor_bank_annual_report_2025-lv.pdf" TargetMode="External"/><Relationship Id="rId29" Type="http://schemas.openxmlformats.org/officeDocument/2006/relationships/hyperlink" Target="https://luminor.lv/sites/default/files/docs/finansu_parskati/luminor_bank_annual_report_2025-lv.pdf#page=5" TargetMode="External"/><Relationship Id="rId30" Type="http://schemas.openxmlformats.org/officeDocument/2006/relationships/hyperlink" Target="https://luminor.ee/s3fs-public/documents/final-terms-13.pdf" TargetMode="External"/><Relationship Id="rId31" Type="http://schemas.openxmlformats.org/officeDocument/2006/relationships/hyperlink" Target="https://luminor.ee/s3fs-public/documents/final-terms-15.pdf" TargetMode="External"/><Relationship Id="rId32" Type="http://schemas.openxmlformats.org/officeDocument/2006/relationships/hyperlink" Target="https://luminor.lv/en/placements" TargetMode="External"/><Relationship Id="rId33" Type="http://schemas.openxmlformats.org/officeDocument/2006/relationships/hyperlink" Target="https://luminor.lv/sites/default/files/docs/finansu_parskati/luminor_bank_interim_report_2q26.pdf#page=3" TargetMode="External"/><Relationship Id="rId34" Type="http://schemas.openxmlformats.org/officeDocument/2006/relationships/hyperlink" Target="https://news.google.com/rss/articles/CBMivgFBVV95cUxOV3dWYzYtSmE2Z2JHMklyZjlJNDhNR01LS0dDeWhDaWl3bGVnVFJsNVhENmlTSVNGbzJJS2MxWTJJLVlFMGNtQUYtd0U3eTJnZlRRYzFQYjRNMnBJMnRoUF81X04tejdjMXg3WFVja01Zb3M1QXMtb2pMU2VBam11aGhVR211eGotUjQ3UlJpTUd0NDR3Wm1POU9uQ0hmQWdpZmgwNjBjcU5meWRGcENVSHJEQ085aHVjTllTYmxB?oc=5" TargetMode="External"/><Relationship Id="rId35" Type="http://schemas.openxmlformats.org/officeDocument/2006/relationships/hyperlink" Target="https://news.google.com/rss/articles/CBMi3AFBVV95cUxOZ0Zkdl92dHhvWm9qWkthZjJYUFluYzF6TmtMakVxVHhYdldlWHYtNXcxY1N4eFd0a2JsckRlOTkxM3RBbFJrVU1ETDZINmhQaFNHaFZaVUJVSTc5XzktOE1jTVZLUGoyVVVwWVZEVnpsZXc5VXZTdHJSa3JXbGJ5bzZfWGJtNU1SbjlhQmlfdFVyejZWaHg5NU9Hb2VKVWItZlFqWHkxenR5ZmVfTFFYQ2JCMlUwb1dJV1k1Z3dIaGJBUmE0YXZiOGpCNXFkMk42NURjOTlWdGlnM3Z1?oc=5" TargetMode="External"/><Relationship Id="rId36" Type="http://schemas.openxmlformats.org/officeDocument/2006/relationships/hyperlink" Target="https://news.google.com/rss/articles/CBMid0FVX3lxTE9lNF9aWko3LWZ4X250WC1GaENad2hrdW9iYU1tc2RVaE1jeUU4TVpRdlJTWE9nblFMNTVUNzE3WlhFNkcwSkJkUGdZNU84emFSNFFmYnlzaFpWVGxtbUVkYUJoVmdiajNzQ09nWDlWNGVwWU9UbGtF?oc=5" TargetMode="External"/><Relationship Id="rId37" Type="http://schemas.openxmlformats.org/officeDocument/2006/relationships/hyperlink" Target="https://news.google.com/rss/articles/CBMikAFBVV95cUxPSWxBMUtIUnYxZ1hkU2xPX092V2gwS2VuVjk1UzZLaVVyLS1oaXpSZjNBODNpTEtveFRuVjR4VEZuYXB5Wl9TQk1XbkFYemZ1eUtjcVUwcUc0YTU2UHZSSTV0TGpvY0pZMDdocFdReWVzdnlQMVNNYlV6ckZ2NzZEczlqQzFwdGlycW9zWlJwenI?oc=5" TargetMode="External"/><Relationship Id="rId38" Type="http://schemas.openxmlformats.org/officeDocument/2006/relationships/hyperlink" Target="https://news.google.com/rss/articles/CBMi3wFBVV95cUxNanN2NUdqb0phYjB0ZV83dF9HOWQ3NXJxcjd4eVBmeEJ3VWJvUXhWbktZbWNqYUJmZ0dFWEZPQktucmhsZ0xRTjk1MVFqU2pTOVlGdXZ4S3hZbXhCRnhZMnk1Z2NqSl9JdHkzVlh3MVFKcWg3TjFXbXBSR2lneEgtOW82SXBEd09qc2NHWVgxWjd4ODc4LTFBSW93ZmlUbV9ORmpSZXZFOUUtYW5Qa2Q4OGZYTEhIc181TkNoREdtSkxkNU9wQXlncmtqLVlDdFY1V1JFaGdXMkhjQXktU1Mw?oc=5" TargetMode="External"/><Relationship Id="rId39" Type="http://schemas.openxmlformats.org/officeDocument/2006/relationships/hyperlink" Target="https://news.google.com/rss/articles/CBMi-wFBVV95cUxON1Rpd3hGMXdZQ01HNnZHT2tqWGdROGd0QUdjbWZYaGNrOUVyQ0ZfQkU0emlkcXhNR0J0S2prelZkMGNBZnBLSHNiZTgwUG5TeUNrT21PUW1vYUZrUVkteUEzQ3JHU0hWcE1JUzUtMnJkSm02NlJraGNDVmZZWkktTFJUc2ptZDRNTThtSEVNNnlMTkFxeW1WMk9Ca1UzM0RfcnlmTHNnSlZMY0Vjal9HQzZpRzVONzlyYUVyTzlXRDdUUm1aSVMzN3VxcDhpenRrc1ozYVdrSzhlOTlnVnJUdWtVcUk5RjZfV2RhUHpLVUdkeVFISmFTSDZoYw?oc=5" TargetMode="External"/><Relationship Id="rId40" Type="http://schemas.openxmlformats.org/officeDocument/2006/relationships/hyperlink" Target="https://news.google.com/rss/articles/CBMi9gFBVV95cUxPUDMwSXVLUERRLWRhOGlSb202N0JkU2RBSzlwWE1BRk5EWlY3OExqSUw4eEJtc2E4ZlFLUUVpOWVlbl9KaTdsQWV0UkJpb1hneW9FZVE1VG9FS2UwVGJoOW0wamp3Q0xxNDVxd1NTR1JIcVlTdTlVUWtETjVMQlQ3Qk5HYnlELUNiU3ZxcnhOenlXdF9XTWFKMk1KQnpmRDhFUmR1a1ZQX2hiUDYwbF8xVVhNaWZMdEwwbUR6bWEzVk9nanhIei04U0NwejJvamVwX0pxYnB2WG90dDFQQWp1UWNVa3g3SHhOZGNZRXgzcmotY1U3N1E?oc=5" TargetMode="External"/><Relationship Id="rId41" Type="http://schemas.openxmlformats.org/officeDocument/2006/relationships/hyperlink" Target="https://news.google.com/rss/articles/CBMiqwFBVV95cUxPR2xSM2JycUxjQ2VVSXBaUHR0aERmX0lDY183cnk5MkpQN2tmNnhFUGtETXZYR085aHZadHRfSW9Nck9EanJkSlJjMXcxSDlrRlpJN1JKYlphUHdueXRERllVQjhkRE1peUstbGNvTTBLLXVucDZJQlhDbkhjZDgzQVRaSTFpYnV3d3M5YWFiNVd2SU96ZUJCOG90bVZKbUMxVEY1TkJKVjd6TDg?oc=5" TargetMode="External"/><Relationship Id="rId42" Type="http://schemas.openxmlformats.org/officeDocument/2006/relationships/hyperlink" Target="https://news.google.com/rss/articles/CBMizwFBVV95cUxNUUZrdlI2X3FwNXZPYXo0azYxb0NZei02RVd3c2FuTXhtYV9NRzhZdmp5d2ZydWpzbU83WHozWlNjM09OTVltbkJrUU45ZE5oUWNyMHV1SUVDczNwbmpIWHRfVUVhUEhnSWJCNXVuLXF6UGlXYWt2ZEpkcFdscEV4UkpsSmNZalFtNjA0aVVUbTE4SWUwWVN5TjBLNUxWdTllckJsVHJTbDFlVkdhbTNPcURfTWxNOW5WWDV4Q1RUMlFQU1NlSTJFVFlRTU82UFU?oc=5" TargetMode="External"/><Relationship Id="rId43" Type="http://schemas.openxmlformats.org/officeDocument/2006/relationships/hyperlink" Target="https://news.google.com/rss/articles/CBMic0FVX3lxTFBtWEZBaTd6bkpjejBaV0UxVkFJNFBDaWUtTUhpcFg4YURXRU0zdjdGYnpXQmFUV1Y3RF9ESEswVy1MaDVMeG1JdE9CN200cDVVRk5wV3FLdWZkYTMxcHNmNnY5UXl2N0hmX2tRSmRpYVE2aFE?oc=5" TargetMode="External"/><Relationship Id="rId44" Type="http://schemas.openxmlformats.org/officeDocument/2006/relationships/hyperlink" Target="https://news.google.com/rss/articles/CBMiuwFBVV95cUxOcW56eklqVGkzRmdHNUU1QU12TDh2X21tSVp3Tk5PVHEwMHZRTExVMTAxZ1o4OUpwU0ZvUUxpT3JfdlBRNlVlYVh1TDBuTmZ4Z2YtTktyV2FkSGZSa2o3S1pKWllaaXFaNUlPS3loMXBuUmUxWnZlb2t6NGZSZFVBSDFBZXJRcndxN20wMXVreXhCc25hdGRFLTJ6TjZmcFJ1cXQ3NkxibTEybGN4ci0wN0h0d2RTMVFZRG9N?oc=5" TargetMode="External"/><Relationship Id="rId45" Type="http://schemas.openxmlformats.org/officeDocument/2006/relationships/hyperlink" Target="https://luminor.lv/sites/default/files/docs/finansu_parskati/luminor_bank_annual_report_2025-lv.pdf#page=19" TargetMode="External"/><Relationship Id="rId46" Type="http://schemas.openxmlformats.org/officeDocument/2006/relationships/hyperlink" Target="https://luminor.lv/sites/default/files/docs/finansu_parskati/luminor_bank_annual_report_2025-lv.pdf#page=16" TargetMode="External"/><Relationship Id="rId47" Type="http://schemas.openxmlformats.org/officeDocument/2006/relationships/hyperlink" Target="https://sanctionssearch.ofac.treas.gov/" TargetMode="External"/><Relationship Id="rId48" Type="http://schemas.openxmlformats.org/officeDocument/2006/relationships/hyperlink" Target="https://www.sanctionsmap.eu/#/main" TargetMode="External"/><Relationship Id="rId49" Type="http://schemas.openxmlformats.org/officeDocument/2006/relationships/hyperlink" Target="https://luminor.lv/sites/default/files/docs/finansu_parskati/luminor_bank_annual_report_2025-lv.pdf#page=22" TargetMode="External"/><Relationship Id="rId50" Type="http://schemas.openxmlformats.org/officeDocument/2006/relationships/hyperlink" Target="https://sebgroup.com/sustainability/our-sustainability-strategy/policies" TargetMode="External"/><Relationship Id="rId51" Type="http://schemas.openxmlformats.org/officeDocument/2006/relationships/hyperlink" Target="https://luminor.lv/sites/default/files/docs/finansu_parskati/luminor_bank_annual_report_2025-lv.pdf#page=18" TargetMode="External"/><Relationship Id="rId52" Type="http://schemas.openxmlformats.org/officeDocument/2006/relationships/hyperlink" Target="https://luminor.lv/sites/default/files/docs/finansu_parskati/luminor_bank_annual_report_2025-lv.pdf#page=23" TargetMode="External"/><Relationship Id="rId53" Type="http://schemas.openxmlformats.org/officeDocument/2006/relationships/hyperlink" Target="https://luminor.lv/sites/default/files/docs/finansu_parskati/luminor_bank_annual_report_2025-lv.pdf#page=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