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24" w:color="12355B" w:space="0"/>
        </w:pBdr>
        <w:spacing w:before="0" w:after="200" w:line="120" w:lineRule="auto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7030"/>
        <w:gridCol w:w="2608"/>
      </w:tblGrid>
      <w:tr>
        <w:tc>
          <w:tcPr>
            <w:tcW w:type="dxa" w:w="7030"/>
          </w:tcPr>
          <w:p>
            <w:pPr>
              <w:spacing w:before="0" w:after="0"/>
            </w:pPr>
            <w:r>
              <w:rPr>
                <w:b/>
                <w:caps/>
                <w:color w:val="2A78D6"/>
                <w:sz w:val="16"/>
              </w:rPr>
              <w:t>Emitento apžvalga · FY2025</w:t>
            </w:r>
          </w:p>
          <w:p>
            <w:pPr>
              <w:spacing w:before="40" w:after="0"/>
            </w:pPr>
            <w:r>
              <w:rPr>
                <w:b/>
                <w:color w:val="12355B"/>
                <w:sz w:val="52"/>
              </w:rPr>
              <w:t>Nortal</w:t>
            </w:r>
          </w:p>
          <w:p>
            <w:pPr>
              <w:spacing w:before="40" w:after="0"/>
            </w:pPr>
            <w:r>
              <w:rPr>
                <w:b w:val="0"/>
                <w:color w:val="667085"/>
                <w:sz w:val="18"/>
              </w:rPr>
              <w:t>Estija</w:t>
            </w:r>
          </w:p>
        </w:tc>
        <w:tc>
          <w:tcPr>
            <w:tcW w:type="dxa" w:w="2608"/>
          </w:tcPr>
          <w:p>
            <w:pPr>
              <w:spacing w:before="440" w:after="0"/>
              <w:jc w:val="right"/>
            </w:pPr>
            <w:r>
              <w:rPr>
                <w:b/>
                <w:color w:val="9A6400"/>
                <w:sz w:val="18"/>
                <w:shd w:val="clear" w:color="auto" w:fill="FDF1D8"/>
              </w:rPr>
              <w:t xml:space="preserve">  ●  STEBĖTI  </w:t>
            </w:r>
          </w:p>
        </w:tc>
      </w:tr>
    </w:tbl>
    <w:p>
      <w:pPr>
        <w:pBdr>
          <w:top w:val="single" w:sz="4" w:color="D5DCE4" w:space="0"/>
        </w:pBdr>
        <w:spacing w:before="120" w:after="200" w:line="120" w:lineRule="auto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60" w:type="dxa"/>
          <w:left w:w="220" w:type="dxa"/>
          <w:bottom w:w="160" w:type="dxa"/>
          <w:right w:w="22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 w:color="12355B" w:space="0"/>
              <w:left w:val="nil"/>
              <w:bottom w:val="nil"/>
              <w:right w:val="nil"/>
            </w:tcBorders>
            <w:shd w:val="clear" w:color="auto" w:fill="F4F6F9"/>
          </w:tcPr>
          <w:p>
            <w:pPr>
              <w:spacing w:before="0" w:after="40"/>
            </w:pPr>
            <w:r>
              <w:rPr>
                <w:b/>
                <w:color w:val="12355B"/>
                <w:sz w:val="18"/>
              </w:rPr>
              <w:t>Pagrindinė informacija</w:t>
            </w:r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Emitento reitingas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nerasta (no public credit rating found)</w:t>
            </w:r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Analizės data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2026-10-22</w:t>
            </w:r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Kita ataskaita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nerasta - Nortal reports are published only on its password-protected investor portal</w:t>
            </w:r>
            <w:hyperlink r:id="rId12">
              <w:r>
                <w:rPr>
                  <w:color w:val="2A78D6"/>
                  <w:vertAlign w:val="superscript"/>
                  <w:sz w:val="15"/>
                </w:rPr>
                <w:t xml:space="preserve">1</w:t>
              </w:r>
            </w:hyperlink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Šalis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Estija</w:t>
            </w:r>
          </w:p>
        </w:tc>
        <w:tc>
          <w:tcPr>
            <w:tcW w:type="dxa" w:w="4819"/>
            <w:tcBorders>
              <w:top w:val="single" w:sz="12" w:color="12355B" w:space="0"/>
              <w:left w:val="nil"/>
              <w:bottom w:val="nil"/>
              <w:right w:val="nil"/>
            </w:tcBorders>
            <w:shd w:val="clear" w:color="auto" w:fill="F4F6F9"/>
          </w:tcPr>
          <w:p>
            <w:pPr>
              <w:spacing w:before="0" w:after="40"/>
            </w:pPr>
            <w:r>
              <w:rPr>
                <w:b/>
                <w:color w:val="12355B"/>
                <w:sz w:val="18"/>
              </w:rPr>
              <w:t>Turimi vertybiniai popieriai</w:t>
            </w:r>
          </w:p>
          <w:p>
            <w:pPr>
              <w:spacing w:before="80" w:after="0"/>
            </w:pPr>
            <w:r>
              <w:rPr>
                <w:b/>
                <w:color w:val="1B2430"/>
                <w:sz w:val="17"/>
              </w:rPr>
              <w:t>Nortal senior secured FRN 2029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FI4000566567  ·  2029-02-09</w:t>
            </w:r>
          </w:p>
          <w:p>
            <w:pPr>
              <w:spacing w:before="0" w:after="0"/>
            </w:pPr>
            <w:r>
              <w:rPr>
                <w:b w:val="0"/>
                <w:color w:val="12355B"/>
                <w:sz w:val="15"/>
              </w:rPr>
              <w:t>atskiro nerasta</w:t>
            </w:r>
          </w:p>
        </w:tc>
      </w:tr>
    </w:tbl>
    <w:p>
      <w:pPr>
        <w:spacing w:before="0" w:after="120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80" w:type="dxa"/>
          <w:left w:w="260" w:type="dxa"/>
          <w:bottom w:w="200" w:type="dxa"/>
          <w:right w:w="260" w:type="dxa"/>
        </w:tblCellMar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tcBorders>
              <w:top w:val="nil"/>
              <w:left w:val="single" w:sz="24" w:color="9A6400" w:space="0"/>
              <w:bottom w:val="nil"/>
              <w:right w:val="nil"/>
            </w:tcBorders>
            <w:shd w:val="clear" w:color="auto" w:fill="FDF1D8"/>
          </w:tcPr>
          <w:p>
            <w:pPr>
              <w:spacing w:before="0" w:after="0" w:line="276" w:lineRule="auto"/>
            </w:pPr>
            <w:r>
              <w:rPr>
                <w:b/>
                <w:color w:val="1B2430"/>
                <w:sz w:val="21"/>
              </w:rPr>
              <w:t>Stebėti.</w:t>
            </w:r>
            <w:r>
              <w:rPr>
                <w:b w:val="0"/>
                <w:color w:val="1B2430"/>
                <w:sz w:val="21"/>
              </w:rPr>
              <w:t xml:space="preserve"> Nortal finansines ataskaitas skelbia tik slaptažodžiu apsaugotame investuotojų portale, todėl viešai žinomi tik 2025 m. pajamos 254,2 mln. EUR (+15 %) ir EBITDA 23,8 mln. EUR</w:t>
            </w:r>
            <w:hyperlink r:id="rId12">
              <w:r>
                <w:rPr>
                  <w:color w:val="2A78D6"/>
                  <w:vertAlign w:val="superscript"/>
                  <w:sz w:val="17"/>
                </w:rPr>
                <w:t xml:space="preserve">1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3">
              <w:r>
                <w:rPr>
                  <w:color w:val="2A78D6"/>
                  <w:vertAlign w:val="superscript"/>
                  <w:sz w:val="17"/>
                </w:rPr>
                <w:t xml:space="preserve">2</w:t>
              </w:r>
            </w:hyperlink>
            <w:r>
              <w:rPr>
                <w:b w:val="0"/>
                <w:color w:val="1B2430"/>
                <w:sz w:val="21"/>
              </w:rPr>
              <w:t>. Skolos, sverto ir kovenantų viešų duomenų nėra.</w:t>
            </w:r>
          </w:p>
        </w:tc>
      </w:tr>
    </w:tbl>
    <w:p>
      <w:pPr>
        <w:spacing w:before="0" w:after="120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50" w:type="dxa"/>
          <w:left w:w="170" w:type="dxa"/>
          <w:bottom w:w="150" w:type="dxa"/>
          <w:right w:w="100" w:type="dxa"/>
        </w:tblCellMar>
        <w:tblLook w:firstColumn="1" w:firstRow="1" w:lastColumn="0" w:lastRow="0" w:noHBand="0" w:noVBand="1" w:val="04A0"/>
      </w:tblPr>
      <w:tblGrid>
        <w:gridCol w:w="4720"/>
        <w:gridCol w:w="198"/>
        <w:gridCol w:w="4720"/>
      </w:tblGrid>
      <w:tr>
        <w:tc>
          <w:tcPr>
            <w:tcW w:type="dxa" w:w="4720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Pajamos</w:t>
            </w:r>
            <w:r>
              <w:rPr>
                <w:b w:val="0"/>
                <w:color w:val="667085"/>
                <w:sz w:val="14"/>
              </w:rPr>
              <w:t xml:space="preserve">  ·  FY2025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254,2</w:t>
            </w:r>
            <w:r>
              <w:rPr>
                <w:b w:val="0"/>
                <w:color w:val="667085"/>
                <w:sz w:val="18"/>
              </w:rPr>
              <w:t xml:space="preserve"> mln. EUR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 xml:space="preserve"> </w:t>
            </w:r>
          </w:p>
        </w:tc>
        <w:tc>
          <w:tcPr>
            <w:tcW w:type="dxa" w:w="198"/>
          </w:tcPr>
          <w:p/>
        </w:tc>
        <w:tc>
          <w:tcPr>
            <w:tcW w:type="dxa" w:w="4720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EBITDA</w:t>
            </w:r>
            <w:r>
              <w:rPr>
                <w:b w:val="0"/>
                <w:color w:val="667085"/>
                <w:sz w:val="14"/>
              </w:rPr>
              <w:t xml:space="preserve">  ·  FY2025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23,8</w:t>
            </w:r>
            <w:r>
              <w:rPr>
                <w:b w:val="0"/>
                <w:color w:val="667085"/>
                <w:sz w:val="18"/>
              </w:rPr>
              <w:t xml:space="preserve"> mln. EUR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 xml:space="preserve"> </w:t>
            </w:r>
          </w:p>
        </w:tc>
      </w:tr>
    </w:tbl>
    <w:p>
      <w:pPr>
        <w:spacing w:before="0" w:after="40"/>
      </w:pPr>
    </w:p>
    <w:p>
      <w:pPr>
        <w:keepNext/>
        <w:spacing w:before="200" w:after="100"/>
      </w:pPr>
      <w:r>
        <w:rPr>
          <w:b/>
          <w:color w:val="12355B"/>
          <w:sz w:val="26"/>
        </w:rPr>
        <w:t>Trumpa santrauka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Augimas:</w:t>
      </w:r>
      <w:r>
        <w:rPr>
          <w:b w:val="0"/>
        </w:rPr>
        <w:t xml:space="preserve"> 2025 m. pajamos 254,2 mln. EUR (+15 %), EBITDA 23,8 mln. EUR; bendrovė nurodo daug investavusi ir patyrusi reikšmingų pokyčių</w:t>
      </w:r>
      <w:hyperlink r:id="rId13">
        <w:r>
          <w:rPr>
            <w:color w:val="2A78D6"/>
            <w:vertAlign w:val="superscript"/>
            <w:sz w:val="17"/>
          </w:rPr>
          <w:t xml:space="preserve">2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Įsigijimai:</w:t>
      </w:r>
      <w:r>
        <w:rPr>
          <w:b w:val="0"/>
        </w:rPr>
        <w:t xml:space="preserve"> Nearsure (JAV, 2025-07), Accela Artimųjų Rytų padalinys (2025-10), iSAX IoT konsultacijos (Vokietija, 2026-07)</w:t>
      </w:r>
      <w:hyperlink r:id="rId13">
        <w:r>
          <w:rPr>
            <w:color w:val="2A78D6"/>
            <w:vertAlign w:val="superscript"/>
            <w:sz w:val="17"/>
          </w:rPr>
          <w:t xml:space="preserve">2</w:t>
        </w:r>
      </w:hyperlink>
      <w:r>
        <w:rPr>
          <w:color w:val="2A78D6"/>
          <w:vertAlign w:val="superscript"/>
        </w:rPr>
        <w:t>,</w:t>
      </w:r>
      <w:hyperlink r:id="rId14">
        <w:r>
          <w:rPr>
            <w:color w:val="2A78D6"/>
            <w:vertAlign w:val="superscript"/>
            <w:sz w:val="17"/>
          </w:rPr>
          <w:t xml:space="preserve">3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Ribota informacija:</w:t>
      </w:r>
      <w:r>
        <w:rPr>
          <w:b w:val="0"/>
        </w:rPr>
        <w:t xml:space="preserve"> tarpinės ataskaitos, skola ir kovenantų rodikliai viešai neskelbiami</w:t>
      </w:r>
      <w:hyperlink r:id="rId12">
        <w:r>
          <w:rPr>
            <w:color w:val="2A78D6"/>
            <w:vertAlign w:val="superscript"/>
            <w:sz w:val="17"/>
          </w:rPr>
          <w:t xml:space="preserve">1</w:t>
        </w:r>
      </w:hyperlink>
      <w:r>
        <w:rPr>
          <w:b w:val="0"/>
        </w:rPr>
        <w:t>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01</w:t>
        <w:tab/>
      </w:r>
      <w:r>
        <w:rPr>
          <w:b/>
          <w:color w:val="12355B"/>
          <w:sz w:val="28"/>
        </w:rPr>
        <w:t>Turimos priemonės ir ISIN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1457"/>
        <w:gridCol w:w="2241"/>
        <w:gridCol w:w="1064"/>
        <w:gridCol w:w="1120"/>
        <w:gridCol w:w="1569"/>
        <w:gridCol w:w="2185"/>
      </w:tblGrid>
      <w:tr>
        <w:tc>
          <w:tcPr>
            <w:tcW w:type="dxa" w:w="145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ISIN</w:t>
            </w:r>
          </w:p>
        </w:tc>
        <w:tc>
          <w:tcPr>
            <w:tcW w:type="dxa" w:w="224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Priemonė</w:t>
            </w:r>
          </w:p>
        </w:tc>
        <w:tc>
          <w:tcPr>
            <w:tcW w:type="dxa" w:w="106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Kuponas</w:t>
            </w:r>
          </w:p>
        </w:tc>
        <w:tc>
          <w:tcPr>
            <w:tcW w:type="dxa" w:w="112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Išpirkimas</w:t>
            </w:r>
          </w:p>
        </w:tc>
        <w:tc>
          <w:tcPr>
            <w:tcW w:type="dxa" w:w="1569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Emisijos reitingas</w:t>
            </w:r>
          </w:p>
        </w:tc>
        <w:tc>
          <w:tcPr>
            <w:tcW w:type="dxa" w:w="218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Pastaba</w:t>
            </w:r>
          </w:p>
        </w:tc>
      </w:tr>
      <w:tr>
        <w:tc>
          <w:tcPr>
            <w:tcW w:type="dxa" w:w="14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FI4000566567</w:t>
            </w:r>
          </w:p>
        </w:tc>
        <w:tc>
          <w:tcPr>
            <w:tcW w:type="dxa" w:w="22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Nortal senior secured FRN 2029</w:t>
            </w:r>
          </w:p>
        </w:tc>
        <w:tc>
          <w:tcPr>
            <w:tcW w:type="dxa" w:w="106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2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2029-02-09</w:t>
            </w:r>
          </w:p>
        </w:tc>
        <w:tc>
          <w:tcPr>
            <w:tcW w:type="dxa" w:w="1569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atskiro nerasta</w:t>
            </w:r>
          </w:p>
        </w:tc>
        <w:tc>
          <w:tcPr>
            <w:tcW w:type="dxa" w:w="218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Senior secured floating rate, framework EUR 100m; margin not found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02</w:t>
        <w:tab/>
      </w:r>
      <w:r>
        <w:rPr>
          <w:b/>
          <w:color w:val="12355B"/>
          <w:sz w:val="28"/>
        </w:rPr>
        <w:t>Pagrindiniai rodikliai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4475"/>
        <w:gridCol w:w="1807"/>
        <w:gridCol w:w="3356"/>
      </w:tblGrid>
      <w:tr>
        <w:tc>
          <w:tcPr>
            <w:tcW w:type="dxa" w:w="447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Rodiklis</w:t>
            </w:r>
          </w:p>
        </w:tc>
        <w:tc>
          <w:tcPr>
            <w:tcW w:type="dxa" w:w="180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FY2025</w:t>
            </w:r>
          </w:p>
        </w:tc>
        <w:tc>
          <w:tcPr>
            <w:tcW w:type="dxa" w:w="3356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Pokytis</w:t>
            </w:r>
          </w:p>
        </w:tc>
      </w:tr>
      <w:tr>
        <w:tc>
          <w:tcPr>
            <w:tcW w:type="dxa" w:w="447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Pajamos, mln. EUR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2</w:t>
              </w:r>
            </w:hyperlink>
          </w:p>
        </w:tc>
        <w:tc>
          <w:tcPr>
            <w:tcW w:type="dxa" w:w="180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254,2*</w:t>
            </w:r>
          </w:p>
        </w:tc>
        <w:tc>
          <w:tcPr>
            <w:tcW w:type="dxa" w:w="3356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color w:val="5F6B7A"/>
                <w:sz w:val="17"/>
              </w:rPr>
              <w:t>–</w:t>
            </w:r>
          </w:p>
        </w:tc>
      </w:tr>
      <w:tr>
        <w:tc>
          <w:tcPr>
            <w:tcW w:type="dxa" w:w="447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EBITDA, mln. EUR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2</w:t>
              </w:r>
            </w:hyperlink>
          </w:p>
        </w:tc>
        <w:tc>
          <w:tcPr>
            <w:tcW w:type="dxa" w:w="180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23,8*</w:t>
            </w:r>
          </w:p>
        </w:tc>
        <w:tc>
          <w:tcPr>
            <w:tcW w:type="dxa" w:w="3356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color w:val="5F6B7A"/>
                <w:sz w:val="17"/>
              </w:rPr>
              <w:t>–</w:t>
            </w:r>
          </w:p>
        </w:tc>
      </w:tr>
    </w:tbl>
    <w:p>
      <w:pPr>
        <w:spacing w:before="0" w:after="40"/>
      </w:pPr>
    </w:p>
    <w:p>
      <w:pPr>
        <w:spacing w:before="40" w:after="60"/>
      </w:pPr>
      <w:r>
        <w:rPr>
          <w:b w:val="0"/>
          <w:color w:val="667085"/>
          <w:sz w:val="16"/>
        </w:rPr>
        <w:t>Spalvos: žalias pokytis – rodiklis gerėja, raudonas – blogėja. Paskutinio laikotarpio langelio fonas: žalias – geras lygis, geltonas – vidutinis, raudonas – silpnas (vidiniai orientyrai, config/metric_rules.yaml).</w:t>
      </w:r>
    </w:p>
    <w:p>
      <w:pPr>
        <w:spacing w:before="40" w:after="60"/>
      </w:pPr>
      <w:r>
        <w:rPr>
          <w:b w:val="0"/>
          <w:color w:val="667085"/>
          <w:sz w:val="16"/>
        </w:rPr>
        <w:t>* – paimta iš ataskaitos santraukos;  ᶜ – mūsų skaičiavimas. Mažas numeris prie teksto – nuoroda į šaltinį (paspaudus atsidaro dokumentas reikiamame puslapyje).</w:t>
      </w:r>
    </w:p>
    <w:p>
      <w:r>
        <w:drawing>
          <wp:inline xmlns:a="http://schemas.openxmlformats.org/drawingml/2006/main" xmlns:pic="http://schemas.openxmlformats.org/drawingml/2006/picture">
            <wp:extent cx="6120000" cy="5618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rtal_l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618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03</w:t>
        <w:tab/>
      </w:r>
      <w:r>
        <w:rPr>
          <w:b/>
          <w:color w:val="12355B"/>
          <w:sz w:val="28"/>
        </w:rPr>
        <w:t>Veiklos apžvalga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IT paslaugų ir skaitmeninės transformacijos bendrovė (viešasis sektorius, sveikatos apsauga, pramonė); 30 biurų; ISO 9001 ir ISO/IEC 27001</w:t>
      </w:r>
      <w:hyperlink r:id="rId12">
        <w:r>
          <w:rPr>
            <w:color w:val="2A78D6"/>
            <w:vertAlign w:val="superscript"/>
            <w:sz w:val="17"/>
          </w:rPr>
          <w:t xml:space="preserve">1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2025 m. Nortal tapo patvirtintu NATO tiekėju; tikslas – iki 2026 m. pabaigos 70 % darbų atlikti „AI-first“ būdu</w:t>
      </w:r>
      <w:hyperlink r:id="rId13">
        <w:r>
          <w:rPr>
            <w:color w:val="2A78D6"/>
            <w:vertAlign w:val="superscript"/>
            <w:sz w:val="17"/>
          </w:rPr>
          <w:t xml:space="preserve">2</w:t>
        </w:r>
      </w:hyperlink>
      <w:r>
        <w:rPr>
          <w:b w:val="0"/>
        </w:rPr>
        <w:t>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04</w:t>
        <w:tab/>
      </w:r>
      <w:r>
        <w:rPr>
          <w:b/>
          <w:color w:val="12355B"/>
          <w:sz w:val="28"/>
        </w:rPr>
        <w:t>Finansai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Grynasis pelnas, grynoji skola, nuosavas kapitalas ir pinigai – nerasta (viešai neskelbiama)</w:t>
      </w:r>
      <w:hyperlink r:id="rId12">
        <w:r>
          <w:rPr>
            <w:color w:val="2A78D6"/>
            <w:vertAlign w:val="superscript"/>
            <w:sz w:val="17"/>
          </w:rPr>
          <w:t xml:space="preserve">1</w:t>
        </w:r>
      </w:hyperlink>
      <w:r>
        <w:rPr>
          <w:b w:val="0"/>
        </w:rPr>
        <w:t>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05</w:t>
        <w:tab/>
      </w:r>
      <w:r>
        <w:rPr>
          <w:b/>
          <w:color w:val="12355B"/>
          <w:sz w:val="28"/>
        </w:rPr>
        <w:t>Ankstesni planai ir rezultatai</w:t>
      </w:r>
    </w:p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2577"/>
        <w:gridCol w:w="2577"/>
        <w:gridCol w:w="3138"/>
        <w:gridCol w:w="1344"/>
      </w:tblGrid>
      <w:tr>
        <w:tc>
          <w:tcPr>
            <w:tcW w:type="dxa" w:w="257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Planas / tikslas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Rezultatas</w:t>
            </w:r>
          </w:p>
        </w:tc>
        <w:tc>
          <w:tcPr>
            <w:tcW w:type="dxa" w:w="313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Kas pasikeitė ir kodėl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Būsena</w:t>
            </w:r>
          </w:p>
        </w:tc>
      </w:tr>
      <w:tr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70 % „AI-first“ darbų iki 2026 m. pabaigos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Naujas tikslas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2</w:t>
              </w:r>
            </w:hyperlink>
          </w:p>
        </w:tc>
        <w:tc>
          <w:tcPr>
            <w:tcW w:type="dxa" w:w="313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Naujas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2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sz w:val="17"/>
              </w:rPr>
              <w:t>Dar vykdoma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06</w:t>
        <w:tab/>
      </w:r>
      <w:r>
        <w:rPr>
          <w:b/>
          <w:color w:val="12355B"/>
          <w:sz w:val="28"/>
        </w:rPr>
        <w:t>Informacija investuotojui ir išvados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Turima priemonė:</w:t>
      </w:r>
      <w:r>
        <w:rPr>
          <w:b w:val="0"/>
        </w:rPr>
        <w:t xml:space="preserve"> užtikrintos kintamų palūkanų obligacijos FI4000566567, išpirkimas 2029-02-09. Viešai: 2024-02-09 išleista 50 mln. EUR penkerių metų senior secured FRN emisija (programa iki 100 mln. EUR), palūkanos kas ketvirtį; lėšos – senoms obligacijoms refinansuoti</w:t>
      </w:r>
      <w:hyperlink r:id="rId16">
        <w:r>
          <w:rPr>
            <w:color w:val="2A78D6"/>
            <w:vertAlign w:val="superscript"/>
            <w:sz w:val="17"/>
          </w:rPr>
          <w:t xml:space="preserve">4</w:t>
        </w:r>
      </w:hyperlink>
      <w:r>
        <w:rPr>
          <w:color w:val="2A78D6"/>
          <w:vertAlign w:val="superscript"/>
        </w:rPr>
        <w:t>,</w:t>
      </w:r>
      <w:hyperlink r:id="rId17">
        <w:r>
          <w:rPr>
            <w:color w:val="2A78D6"/>
            <w:vertAlign w:val="superscript"/>
            <w:sz w:val="17"/>
          </w:rPr>
          <w:t xml:space="preserve">5</w:t>
        </w:r>
      </w:hyperlink>
      <w:r>
        <w:rPr>
          <w:b w:val="0"/>
        </w:rPr>
        <w:t>. Ar tai ta pati emisija, viešuose šaltiniuose ISIN nenurodytas; data ir trukmė sutampa.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Sąlygos:</w:t>
      </w:r>
      <w:r>
        <w:rPr>
          <w:b w:val="0"/>
        </w:rPr>
        <w:t xml:space="preserve"> marža virš Euribor, kovenantai ir išankstinio išpirkimo sąlygos viešai nerastos.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Išvada:</w:t>
      </w:r>
      <w:r>
        <w:rPr>
          <w:b w:val="0"/>
        </w:rPr>
        <w:t xml:space="preserve"> verslas auga, bet kredito rizikos viešai įvertinti neįmanoma.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07</w:t>
        <w:tab/>
      </w:r>
      <w:r>
        <w:rPr>
          <w:b/>
          <w:color w:val="12355B"/>
          <w:sz w:val="28"/>
        </w:rPr>
        <w:t>Rinka ir aplinka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3515"/>
        <w:gridCol w:w="1814"/>
        <w:gridCol w:w="1360"/>
        <w:gridCol w:w="1360"/>
        <w:gridCol w:w="1587"/>
      </w:tblGrid>
      <w:tr>
        <w:tc>
          <w:tcPr>
            <w:tcW w:type="dxa" w:w="351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</w:r>
          </w:p>
        </w:tc>
        <w:tc>
          <w:tcPr>
            <w:tcW w:type="dxa" w:w="1814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Dabar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Prieš 3 mėn.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Prieš 12 mėn.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Pokytis per 12 mėn.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ECB indėlių palūkanų norma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2,50 %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2,25 %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3 mėn. Euribor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2,64 %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2,34 %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2,03 %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0,61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6 mėn. Euribor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2,92 %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2,60 %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2,10 %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0,82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12 mėn. Euribor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3,25 %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2,80 %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2,17 %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1,08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Euro zonos AAA vyriausybių 10 m. pajamingumas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3,37 % (2026-10)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3,23 %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2,72 %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0,65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Euro zonos infliacija (SVKI, metinė)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1,90 % (2025-12)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2,20 %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2,40 %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▼ 0,50 p. p.</w:t>
            </w:r>
          </w:p>
        </w:tc>
      </w:tr>
    </w:tbl>
    <w:p>
      <w:pPr>
        <w:spacing w:before="0" w:after="40"/>
      </w:pPr>
    </w:p>
    <w:p>
      <w:pPr>
        <w:spacing w:before="40" w:after="60"/>
      </w:pPr>
      <w:r>
        <w:rPr>
          <w:b w:val="0"/>
          <w:color w:val="667085"/>
          <w:sz w:val="16"/>
        </w:rPr>
        <w:t>Euro zonos palūkanos ir infliacija (ECB duomenys, mėnesio pabaigos reikšmė; Euribor ir infliacija – mėnesio vidurkis). Svarbu kintamų palūkanų ir perkainojamoms (reset) obligacijoms bei refinansavimo kaštams.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08</w:t>
        <w:tab/>
      </w:r>
      <w:r>
        <w:rPr>
          <w:b/>
          <w:color w:val="12355B"/>
          <w:sz w:val="28"/>
        </w:rPr>
        <w:t>Ką rašo spauda</w:t>
      </w:r>
    </w:p>
    <w:p>
      <w:pPr>
        <w:spacing w:before="40" w:after="60"/>
      </w:pPr>
      <w:r>
        <w:rPr>
          <w:b w:val="0"/>
          <w:color w:val="667085"/>
          <w:sz w:val="18"/>
        </w:rPr>
        <w:t>Per šį laikotarpį naujienų apie emitentą nerasta.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09</w:t>
        <w:tab/>
      </w:r>
      <w:r>
        <w:rPr>
          <w:b/>
          <w:color w:val="12355B"/>
          <w:sz w:val="28"/>
        </w:rPr>
        <w:t>ESG report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Exclusionary screening (companies)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is not involved in excluded sectors: controversial and nuclear weapons, tobacco, gambling and restricted sectors in fossil fuel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IT paslaugos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Išskirtuose sektoriuose veiklos nėra.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Gynybos sektoriui teikiamos IT paslaugos (NATO tiekėjas), ne ginklai</w:t>
            </w:r>
            <w:hyperlink r:id="rId12">
              <w:r>
                <w:rPr>
                  <w:color w:val="2A78D6"/>
                  <w:vertAlign w:val="superscript"/>
                  <w:sz w:val="15"/>
                </w:rPr>
                <w:t xml:space="preserve">1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3">
              <w:r>
                <w:rPr>
                  <w:color w:val="2A78D6"/>
                  <w:vertAlign w:val="superscript"/>
                  <w:sz w:val="15"/>
                </w:rPr>
                <w:t xml:space="preserve">2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does not have red flag/signal related to controversies based on UN Global Compact, OECD Guidelines for Multinational Enterprises or any other relevant principles/standards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Ginčų pagal JT Pasaulinį susitarimą ar EBPO gaires nerasta.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is not in the list of sanctions (add a screenshot)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Nerasta EU, UN, US OFAC konsoliduotuose sankcijų sąrašuose (automatinė patikra 2026-10-30).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Rankinė patikra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OFAC sankcijų paieška</w:t>
            </w:r>
            <w:hyperlink r:id="rId18">
              <w:r>
                <w:rPr>
                  <w:color w:val="2A78D6"/>
                  <w:vertAlign w:val="superscript"/>
                  <w:sz w:val="15"/>
                </w:rPr>
                <w:t xml:space="preserve">6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ES sankcijų žemėlapis</w:t>
            </w:r>
            <w:hyperlink r:id="rId19">
              <w:r>
                <w:rPr>
                  <w:color w:val="2A78D6"/>
                  <w:vertAlign w:val="superscript"/>
                  <w:sz w:val="15"/>
                </w:rPr>
                <w:t xml:space="preserve">7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SEB eNameChecker (vidinė SEB sistema).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issues were not identified from adverse media checks (add a screenshot)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Naujų neigiamų naujienų nerasta (2026-10-22).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Anksčiau: 2024-02 Estijos partijos kritikavo galimą interesų konfliktą dėl Nortal vaidmens „personalios valstybės“ projekte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Tai politinė kritika, ne bauda ar procesas</w:t>
            </w:r>
            <w:hyperlink r:id="rId20">
              <w:r>
                <w:rPr>
                  <w:color w:val="2A78D6"/>
                  <w:vertAlign w:val="superscript"/>
                  <w:sz w:val="15"/>
                </w:rPr>
                <w:t xml:space="preserve">8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Naujienų suvestinė 2026-08-01 – 2026-10-30: 0 pranešimų, iš jų su neigiamu žodžiu antraštėje – 0 (plačiau – skiltyje „Ką rašo spauda“).</w:t>
            </w:r>
          </w:p>
        </w:tc>
      </w:tr>
    </w:tbl>
    <w:p>
      <w:pPr>
        <w:spacing w:before="120" w:after="40"/>
      </w:pPr>
      <w:r>
        <w:rPr>
          <w:i/>
          <w:color w:val="333333"/>
          <w:sz w:val="18"/>
        </w:rPr>
        <w:t>In case any red flags, risks, unclarities were identified then additional checks (sanctions screening and adverse media checks) on the company’s Ultimate Beneficial Owners and/or senior management shall be performed.</w:t>
      </w:r>
    </w:p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ESG integration and positive screening (positive answers imply higher allocation)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is promoting environmental or social characteristics (activities, ESG policy, good ESG rating, etc)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Skelbiami JK anglies dioksido mažinimo planas (2025) ir šiuolaikinės vergovės pareiškimas (2026)</w:t>
            </w:r>
            <w:hyperlink r:id="rId12">
              <w:r>
                <w:rPr>
                  <w:color w:val="2A78D6"/>
                  <w:vertAlign w:val="superscript"/>
                  <w:sz w:val="15"/>
                </w:rPr>
                <w:t xml:space="preserve">1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activities of the company or it’s strategy is aligned with the taxonomy and/or Paris agreement targets (e.g. net zero commitment)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JK padalinio anglies dioksido mažinimo planas</w:t>
            </w:r>
            <w:hyperlink r:id="rId12">
              <w:r>
                <w:rPr>
                  <w:color w:val="2A78D6"/>
                  <w:vertAlign w:val="superscript"/>
                  <w:sz w:val="15"/>
                </w:rPr>
                <w:t xml:space="preserve">1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does not have yellow flag/signal related to controversies based on UN Global Compact or any other relevant principles/standards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Geltonų signalų nerasta.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fulfills the expectations from SEB thematic and sector policies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Taikoma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Investicijų politika</w:t>
            </w:r>
            <w:hyperlink r:id="rId21">
              <w:r>
                <w:rPr>
                  <w:color w:val="2A78D6"/>
                  <w:vertAlign w:val="superscript"/>
                  <w:sz w:val="15"/>
                </w:rPr>
                <w:t xml:space="preserve">9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Atitinka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ISO 27001, vergovės prevencijos pareiškimas</w:t>
            </w:r>
            <w:hyperlink r:id="rId12">
              <w:r>
                <w:rPr>
                  <w:color w:val="2A78D6"/>
                  <w:vertAlign w:val="superscript"/>
                  <w:sz w:val="15"/>
                </w:rPr>
                <w:t xml:space="preserve">1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Galėtų būti geriau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Grupės tvarumo ataskaita nerasta.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Engagement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9AA5B1"/>
                <w:sz w:val="24"/>
              </w:rPr>
              <w:t>☐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Is there a need for pro-active engagement with the company?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ESG požiūriu nereikia.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Indicators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indicators of the company support the targets of sustainability and PAI indicators followed by the Fund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IT paslaugų poveikis aplinkai nedidelis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JK padalinio emisijų planas</w:t>
            </w:r>
            <w:hyperlink r:id="rId12">
              <w:r>
                <w:rPr>
                  <w:color w:val="2A78D6"/>
                  <w:vertAlign w:val="superscript"/>
                  <w:sz w:val="15"/>
                </w:rPr>
                <w:t xml:space="preserve">1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spacing w:before="120" w:after="40"/>
      </w:pPr>
      <w:r>
        <w:rPr>
          <w:b/>
          <w:sz w:val="19"/>
        </w:rPr>
        <w:t xml:space="preserve">Conclusion: </w:t>
      </w:r>
      <w:r>
        <w:rPr>
          <w:b w:val="0"/>
          <w:sz w:val="19"/>
        </w:rPr>
        <w:t>Išimčių ir raudonų signalų nėra.</w:t>
      </w:r>
    </w:p>
    <w:p>
      <w:pPr>
        <w:spacing w:before="40" w:after="60"/>
      </w:pPr>
      <w:r>
        <w:rPr>
          <w:b w:val="0"/>
          <w:color w:val="667085"/>
          <w:sz w:val="16"/>
        </w:rPr>
        <w:t>Taikytos SEB politikos: Policy on Sustainability Considerations in Investments (SEB AB); Environmental Policy on Climate, Nature and Water (thematic); Social and Human Rights Policy (thematic); Governance expectations in sector policies (anti-corruption, tax, reporting)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10</w:t>
        <w:tab/>
      </w:r>
      <w:r>
        <w:rPr>
          <w:b/>
          <w:color w:val="12355B"/>
          <w:sz w:val="28"/>
        </w:rPr>
        <w:t>Šaltiniai</w:t>
      </w:r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1.</w:t>
        <w:tab/>
      </w:r>
      <w:hyperlink r:id="rId12">
        <w:r>
          <w:rPr>
            <w:color w:val="2A78D6"/>
            <w:sz w:val="17"/>
          </w:rPr>
          <w:t xml:space="preserve">Nortal - Investor relations (portal is password protected), 2026-10-22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2.</w:t>
        <w:tab/>
      </w:r>
      <w:hyperlink r:id="rId13">
        <w:r>
          <w:rPr>
            <w:color w:val="2A78D6"/>
            <w:sz w:val="17"/>
          </w:rPr>
          <w:t xml:space="preserve">Nortal - Tivi: Nortal delivered strong results in 2025, 2026-08-04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3.</w:t>
        <w:tab/>
      </w:r>
      <w:hyperlink r:id="rId14">
        <w:r>
          <w:rPr>
            <w:color w:val="2A78D6"/>
            <w:sz w:val="17"/>
          </w:rPr>
          <w:t xml:space="preserve">Nortal - Acquisition of iSAX's IoT consulting business, 2026-07-02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4.</w:t>
        <w:tab/>
      </w:r>
      <w:hyperlink r:id="rId16">
        <w:r>
          <w:rPr>
            <w:color w:val="2A78D6"/>
            <w:sz w:val="17"/>
          </w:rPr>
          <w:t xml:space="preserve">Nortal - Nortal places EUR 50m bonds, 2024-01-26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5.</w:t>
        <w:tab/>
      </w:r>
      <w:hyperlink r:id="rId17">
        <w:r>
          <w:rPr>
            <w:color w:val="2A78D6"/>
            <w:sz w:val="17"/>
          </w:rPr>
          <w:t xml:space="preserve">Nortal - Nortal will redeem up to EUR 75m senior secured floating rate bonds, 2024-02-15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6.</w:t>
        <w:tab/>
      </w:r>
      <w:hyperlink r:id="rId18">
        <w:r>
          <w:rPr>
            <w:color w:val="2A78D6"/>
            <w:sz w:val="17"/>
          </w:rPr>
          <w:t xml:space="preserve">OFAC Sanctions List Search (US Treasury)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7.</w:t>
        <w:tab/>
      </w:r>
      <w:hyperlink r:id="rId19">
        <w:r>
          <w:rPr>
            <w:color w:val="2A78D6"/>
            <w:sz w:val="17"/>
          </w:rPr>
          <w:t xml:space="preserve">EU Sanctions Map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8.</w:t>
        <w:tab/>
      </w:r>
      <w:hyperlink r:id="rId20">
        <w:r>
          <w:rPr>
            <w:color w:val="2A78D6"/>
            <w:sz w:val="17"/>
          </w:rPr>
          <w:t xml:space="preserve">ERR - Erakonnad ootavad Nortali osalemise kohta personaalses riigis selgitusi, 2024-02-15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9.</w:t>
        <w:tab/>
      </w:r>
      <w:hyperlink r:id="rId21">
        <w:r>
          <w:rPr>
            <w:color w:val="2A78D6"/>
            <w:sz w:val="17"/>
          </w:rPr>
          <w:t xml:space="preserve">SEB Policy on Sustainability Considerations in Investments (2026-04-15), 2026-04-15</w:t>
        </w:r>
      </w:hyperlink>
    </w:p>
    <w:p>
      <w:pPr>
        <w:spacing w:before="40" w:after="60"/>
      </w:pPr>
      <w:r>
        <w:rPr>
          <w:b w:val="0"/>
          <w:color w:val="667085"/>
          <w:sz w:val="16"/>
        </w:rPr>
        <w:t>Ataskaita parengta iš viešų šaltinių. Skaičiai pateikiami taip, kaip juos skelbia emitentas; maži numeriai prie teksto veda į šaltinių sąrašą.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1020" w:right="1134" w:bottom="1020" w:left="1134" w:header="510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color="D5DCE4" w:space="4"/>
      </w:pBdr>
      <w:tabs>
        <w:tab w:pos="9638" w:val="right"/>
      </w:tabs>
    </w:pPr>
    <w:r>
      <w:rPr>
        <w:b w:val="0"/>
        <w:color w:val="667085"/>
        <w:sz w:val="16"/>
      </w:rPr>
      <w:t>Nortal · FY2025 · 2026-10-22</w:t>
      <w:tab/>
    </w:r>
    <w:r>
      <w:rPr>
        <w:b/>
        <w:color w:val="12355B"/>
        <w:sz w:val="16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color="D5DCE4" w:space="4"/>
      </w:pBdr>
      <w:tabs>
        <w:tab w:pos="9638" w:val="right"/>
      </w:tabs>
    </w:pPr>
    <w:r>
      <w:rPr>
        <w:b w:val="0"/>
        <w:color w:val="667085"/>
        <w:sz w:val="16"/>
      </w:rPr>
      <w:t>Nortal · FY2025 · 2026-10-22</w:t>
      <w:tab/>
    </w:r>
    <w:r>
      <w:rPr>
        <w:b/>
        <w:color w:val="12355B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bottom w:val="single" w:sz="4" w:color="D5DCE4" w:space="4"/>
      </w:pBdr>
      <w:tabs>
        <w:tab w:pos="9638" w:val="right"/>
      </w:tabs>
    </w:pPr>
    <w:r>
      <w:rPr>
        <w:b/>
        <w:color w:val="12355B"/>
        <w:sz w:val="16"/>
      </w:rPr>
      <w:t>Nortal</w:t>
    </w:r>
    <w:r>
      <w:rPr>
        <w:b w:val="0"/>
        <w:color w:val="667085"/>
        <w:sz w:val="16"/>
      </w:rPr>
      <w:tab/>
      <w:t>Emitento apžvalga · FY2025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eastAsia="Calibri"/>
      <w:color w:val="1B24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hyperlink" Target="https://investors.nortal.com/" TargetMode="External"/><Relationship Id="rId13" Type="http://schemas.openxmlformats.org/officeDocument/2006/relationships/hyperlink" Target="https://nortal.com/news/news-library/tivi-nortal-delivered-strong-results-in-2025-a-shift-has-required-investments" TargetMode="External"/><Relationship Id="rId14" Type="http://schemas.openxmlformats.org/officeDocument/2006/relationships/hyperlink" Target="https://nortal.com/news/news-library/nortal-expands-industrial-iot-capabilities-through-acquisition-of-isaxs-consulting-business" TargetMode="External"/><Relationship Id="rId15" Type="http://schemas.openxmlformats.org/officeDocument/2006/relationships/image" Target="media/image1.png"/><Relationship Id="rId16" Type="http://schemas.openxmlformats.org/officeDocument/2006/relationships/hyperlink" Target="https://nortal.com/news/news-library/nortal-places-eur-50m-bonds/" TargetMode="External"/><Relationship Id="rId17" Type="http://schemas.openxmlformats.org/officeDocument/2006/relationships/hyperlink" Target="https://nortal.com/news/news-library/nortal-will-redeem-up-to-eur-75m-in-senior-secured-floating-rate-bonds/" TargetMode="External"/><Relationship Id="rId18" Type="http://schemas.openxmlformats.org/officeDocument/2006/relationships/hyperlink" Target="https://sanctionssearch.ofac.treas.gov/" TargetMode="External"/><Relationship Id="rId19" Type="http://schemas.openxmlformats.org/officeDocument/2006/relationships/hyperlink" Target="https://www.sanctionsmap.eu/#/main" TargetMode="External"/><Relationship Id="rId20" Type="http://schemas.openxmlformats.org/officeDocument/2006/relationships/hyperlink" Target="https://www.err.ee/1609252896/erakonnad-ootavad-nortali-osalemise-kohta-personaalses-riigis-selgitusi" TargetMode="External"/><Relationship Id="rId21" Type="http://schemas.openxmlformats.org/officeDocument/2006/relationships/hyperlink" Target="https://sebgroup.com/sustainability/our-sustainability-strategy/polici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