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(consumer, mortgage and business loans; deposits in 9 countries)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30.1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12.9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calculated by the tool),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rose:</w:t>
      </w:r>
      <w:r>
        <w:rPr>
          <w:b w:val="0"/>
        </w:rPr>
        <w:t xml:space="preserve"> 6-month Euribor rose from about 2.6% to 3.1% in Q3; the bank links this to Middle East conflicts that pushed up energy prices and inflation, another ECB hike, and expectations of higher-for-longer rates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Income and quality:</w:t>
      </w:r>
      <w:r>
        <w:rPr>
          <w:b w:val="0"/>
        </w:rPr>
        <w:t xml:space="preserve"> Q3 net interest income EUR 33.8m (+23.7%); credit-loss charge EUR 2.2m (-9.7%), stage 3 loans down to 3.0% of the book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Loan demand stable, Baltic outlook moderately positive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payroll +24% and headcount +20% (741) as everyday-banking services are launched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fi.ee/en/news/finantsinspektsioon-issued-precept-bigbank" TargetMode="External"/><Relationship Id="rId32" Type="http://schemas.openxmlformats.org/officeDocument/2006/relationships/hyperlink" Target="https://static.bigbank.eu/investor/assets/2026/02/Bigbank_aastaaruanne_2025.pdf#page=40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