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9M2026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Coop Pank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Baa1 long-term deposit rating, outlook stable; BCA baa3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Unaudited Q4 2026 and annual results - 2027-02-18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Coop Pank 12% AT1 notes (2023)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EE3300003649  ·  12 % · neterminuota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9 mėn. pelnas 25,6 mln. EUR (+19 %, apskaičiuota įrankio), CET1 14,75 %, bendras kapitalas 19,86 %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Stebėtina: 2026-10-21 Finansų inspekcija nurodė pagerinti valdyseną, vidaus kontrolę ir rizikos valdymą (be baudos)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25,6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19,1 % vs 9M2025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CET1 rodiklis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14,75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0,6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Bendrasis kapitalo rodiklis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19,86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1,32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LCR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213,29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27,84 p. p. vs 9M2025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Pelnas auga:</w:t>
      </w:r>
      <w:r>
        <w:rPr>
          <w:b w:val="0"/>
        </w:rPr>
        <w:t xml:space="preserve"> 9 mėn. grynosios palūkanų pajamos 63,1 mln. EUR (54,2 mln.), pelnas 25,6 mln. EUR (21,5 mln.); III ketv. ROE 14,6 %, sąnaudų ir pajamų santykis 52,5 %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Augimas:</w:t>
      </w:r>
      <w:r>
        <w:rPr>
          <w:b w:val="0"/>
        </w:rPr>
        <w:t xml:space="preserve"> paskolos 2,30 mlrd. EUR (+14 % per metus, apskaičiuota įrankio), indėliai 2,37 mlrd. EUR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Kapitalas ir likvidumas:</w:t>
      </w:r>
      <w:r>
        <w:rPr>
          <w:b w:val="0"/>
        </w:rPr>
        <w:t xml:space="preserve"> CET1 14,75 %, T1 16,72 %, bendras 19,86 %; sverto rodiklis 7,88 %; LCR 213 %, NSFR 125 %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Priežiūros nurodymas:</w:t>
      </w:r>
      <w:r>
        <w:rPr>
          <w:b w:val="0"/>
        </w:rPr>
        <w:t xml:space="preserve"> po patikrinimo Finansų inspekcija 2026-10-21 nurodė pagerinti valdyseną, vidaus kontrolę, rizikos valdymą, ataskaitas ir skolinimo procedūras; bankas sutinka, terminai 2026–2027 m., įtakos finansiniams rezultatams nėra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EE3300003649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Coop Pank 12% AT1 notes (2023)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neterminuota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 AT1; temporary write-down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9M2025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9M2026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Grynosios palūkanų pajamos,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77,6*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73,3*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54,2*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63,1*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16,4 %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Visos veiklos pajamos,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81,9*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79,4*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58,4*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66,9*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14,6 %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28,7*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25,6*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19,1 %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Sąnaudų ir pajamų santykis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49,6 %*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52,3 %*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2,7 p. p. vs FY2024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16,2 %*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12,9 %*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3,3 p. p. vs FY2024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Paskolos klientams,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1 774*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2 114,1*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2 023,3*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2 301,4*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13,7 %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Klientų indėliai,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1 886*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2 124,5*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1 957,9*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2 368,6*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21,0 %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2 703,0*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2 531,9*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2 965,6*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17,1 %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234,5*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227,3*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251,6*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10,7 %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rodiklis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14,28 %*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14,15 %*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14,75 %*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0,6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Bendrasis kapitalo rodiklis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19,4 %*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18,54 %*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19,86 %*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1,32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Sverto rodiklis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8,08 %*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7,88 %*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0,2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207 %*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202 %*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185,45 %*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213,29 %*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27,84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NSFR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120,04 %*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125,16 %*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5,12 p. p. vs 9M2025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(įrankio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op-pank_l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Estijos bankas, kurio strateginis akcininkas – Coop Eesti; Coop Investeeringud 22 %, Coop kooperatyvai 19 %, Andres Sonn 8 %</w:t>
      </w:r>
      <w:hyperlink r:id="rId19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color w:val="2A78D6"/>
          <w:vertAlign w:val="superscript"/>
        </w:rPr>
        <w:t>,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2026-09 EMTN programa padidinta iki 1,5 mlrd. EUR (įtraukti nepadengti ir Tier 2 vertybiniai popieriai); 2026-06 baigta sintetinė pakeitimo vertybiniais popieriais operacija su EIF</w:t>
      </w:r>
      <w:hyperlink r:id="rId24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pelnas 28,7 mln. EUR (32,2 mln.), ROE 12,9 % (16,2 %), sąnaudų ir pajamų santykis 52,3 % (49,6 %)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Dividendai:</w:t>
      </w:r>
      <w:r>
        <w:rPr>
          <w:b w:val="0"/>
        </w:rPr>
        <w:t xml:space="preserve"> 2026-04 išmokėta 6,5 ct akcijai; politika – 25 % pelno prieš mokesčius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25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Iki 2030 m.: 10 % paskolų rinkos dalis, pelnas ≥60 mln. EUR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9M 2026 pelnas 25,6 mln. EUR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Ilgalaikis tikslas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 ≥15 %, sąnaudų ir pajamų santykis &lt;45 %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III ketv. ROE 14,6 %, sąnaudų ir pajamų santykis 52,5 %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 artėja prie tikslo, sąnaudos dar per didelės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</w:pPr>
            <w:r>
              <w:rPr>
                <w:b/>
                <w:sz w:val="17"/>
              </w:rPr>
              <w:t>Iš dalies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Įvykdyti Finansų inspekcijos nurodymus (2026–2027 m.)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 įsipareigojimas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12 % neterminuota AT1 obligacija EE3300003649, išleista 2023-09-18, 12 mln. EUR, kuponas kas ketvirtį; pirmoji išpirkimo data 2028-09-18; nekotiruojama</w:t>
      </w:r>
      <w:hyperlink r:id="rId26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Sąlygos:</w:t>
      </w:r>
      <w:r>
        <w:rPr>
          <w:b w:val="0"/>
        </w:rPr>
        <w:t xml:space="preserve"> subordinuota, žemiau indėlių ir Tier 2; kuponą bankas gali atšaukti savo nuožiūra, atšaukti kuponai nekaupiami; nominali vertė laikinai nurašoma, jei grupės CET1 nukristų žemiau ribos, nurodytos galutinėse sąlygose (šios serijos riba nerasta)</w:t>
      </w:r>
      <w:hyperlink r:id="rId2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Atsarga:</w:t>
      </w:r>
      <w:r>
        <w:rPr>
          <w:b w:val="0"/>
        </w:rPr>
        <w:t xml:space="preserve"> CET1 14,75 %, gerokai virš reikalavimų; bankas atitinka visus kapitalo reikalavimus</w:t>
      </w:r>
      <w:hyperlink r:id="rId21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vidutinė rizika – pelningas bankas su gera kapitalo atsarga; AT1 rizika ir priežiūros nurodymas.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Augimas ir Euribor:</w:t>
      </w:r>
      <w:r>
        <w:rPr>
          <w:b w:val="0"/>
        </w:rPr>
        <w:t xml:space="preserve"> III ketv. pelnas 9,1 mln. EUR (+30 % per metus) dėl didesnių paskolų apimčių, geros portfelio kokybės ir kylančio Euribor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; grynųjų palūkanų marža 3,2 % (prieš metus 3,0 %)</w:t>
      </w:r>
      <w:hyperlink r:id="rId13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Finansavimas ir rizika:</w:t>
      </w:r>
      <w:r>
        <w:rPr>
          <w:b w:val="0"/>
        </w:rPr>
        <w:t xml:space="preserve"> finansavimo kaina 2,1 % (2,3 %), indėliai +131 mln. EUR per ketvirtį; vertės sumažėjimas 0,4 mln. EUR, pradelstos paskolos 2 % (2,3 %)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Tikslai:</w:t>
      </w:r>
      <w:r>
        <w:rPr>
          <w:b w:val="0"/>
        </w:rPr>
        <w:t xml:space="preserve"> iki 2030 m. – daugiau nei 60 mln. EUR metinio pelno ir augti sparčiau nei Estijos bankų rinka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3,43 %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0,71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Priežiūros nurodymas:</w:t>
      </w:r>
      <w:r>
        <w:rPr>
          <w:b w:val="0"/>
        </w:rPr>
        <w:t xml:space="preserve"> 2026-10-21 spauda rašė, kad Finantsinspektsioon nurodė bankui keisti vidaus kontrolę ir skolinimo procesus</w:t>
      </w:r>
      <w:hyperlink r:id="rId29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Akcijos:</w:t>
      </w:r>
      <w:r>
        <w:rPr>
          <w:b w:val="0"/>
        </w:rPr>
        <w:t xml:space="preserve"> bankas superka savas akcijas (pranešimas 2026-10-19); Trigon įsigijo akcijų už daugiau nei 1 mln. EUR (2026-09-25)</w:t>
      </w:r>
      <w:hyperlink r:id="rId30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color w:val="2A78D6"/>
          <w:vertAlign w:val="superscript"/>
        </w:rPr>
        <w:t>,</w:t>
      </w:r>
      <w:hyperlink r:id="rId31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EE), 2026-07-25 – 2026-10-23: 12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B42318"/>
                <w:sz w:val="14"/>
                <w:shd w:val="clear" w:color="auto" w:fill="FDE7E5"/>
              </w:rPr>
              <w:t xml:space="preserve"> DĖMESIO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9">
              <w:r>
                <w:rPr>
                  <w:color w:val="1B2430"/>
                  <w:sz w:val="18"/>
                </w:rPr>
                <w:t xml:space="preserve">Coop Pank sai finantsinspektsioonilt ettekirjutuse. Pank peab muutma sisekontrolli ja laenutegevust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9A6400"/>
                <w:sz w:val="14"/>
                <w:shd w:val="clear" w:color="auto" w:fill="FDF1D8"/>
              </w:rPr>
              <w:t xml:space="preserve"> SANDORIS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0">
              <w:r>
                <w:rPr>
                  <w:color w:val="1B2430"/>
                  <w:sz w:val="18"/>
                </w:rPr>
                <w:t xml:space="preserve">Coop Pank AS oma aktsiate omandamise tehingud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REZULTATAI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2">
              <w:r>
                <w:rPr>
                  <w:color w:val="1B2430"/>
                  <w:sz w:val="18"/>
                </w:rPr>
                <w:t xml:space="preserve">Analītiķis: LHV peļņa pārsniedza gaidīto, taču Coop Pank akcijai ir lielāks izaugsmes potenciāls</w:t>
              </w:r>
            </w:hyperlink>
            <w:r>
              <w:rPr>
                <w:b w:val="0"/>
                <w:color w:val="667085"/>
                <w:sz w:val="15"/>
              </w:rPr>
              <w:t xml:space="preserve">   Investoru Klubs  ·  dar 2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REZULTATAI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3">
              <w:r>
                <w:rPr>
                  <w:color w:val="1B2430"/>
                  <w:sz w:val="18"/>
                </w:rPr>
                <w:t xml:space="preserve">Coop Pank AS korraldab 2026. aasta III kvartali majandustulemuste tutvustamiseks veebiseminari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4">
              <w:r>
                <w:rPr>
                  <w:color w:val="1B2430"/>
                  <w:sz w:val="18"/>
                </w:rPr>
                <w:t xml:space="preserve">Parandus: Coop Pank AS 2027. aasta finantskalender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Coop Pank rahastas tegevust välismaiste hoiustega</w:t>
              </w:r>
            </w:hyperlink>
            <w:r>
              <w:rPr>
                <w:b w:val="0"/>
                <w:color w:val="667085"/>
                <w:sz w:val="15"/>
              </w:rPr>
              <w:t xml:space="preserve">   Inbox.lv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1">
              <w:r>
                <w:rPr>
                  <w:color w:val="1B2430"/>
                  <w:sz w:val="18"/>
                </w:rPr>
                <w:t xml:space="preserve">Trigon ostis Coop Panka rohkem kui miljoni euro eest. “Tundsime huvi kogu müüdava paki vastu”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Coop Pank: euribori tõus ei tohiks kaasa tuua järsku makseraskuste kasvu</w:t>
              </w:r>
            </w:hyperlink>
            <w:r>
              <w:rPr>
                <w:b w:val="0"/>
                <w:color w:val="667085"/>
                <w:sz w:val="15"/>
              </w:rPr>
              <w:t xml:space="preserve">   Majandus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Mažmeninė ir MVĮ bankininkystė Estijoje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Išskirtuose sektoriuose veiklos nėra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Rasta: 2026-10-21 Finansų inspekcijos nurodymas pagerinti valdyseną, vidaus kontrolę ir rizikos valdymą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Baudos nėra, bankas sutinka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2026-07-25 – 2026-10-23: 12 pranešimų, iš jų su neigiamu žodžiu antraštėje – 1 (plačiau – skiltyje „Ką rašo spauda“).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Antraštės su neigiamu žodžiu: „Coop Pank sai finantsinspektsioonilt ettekirjutuse.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Pank peab muutma sisekontrolli ja laenutegevust“ (Äripäev, 2026-10-21).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Finansuoja saulės ir vėjo projektus (81,3 MW)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Patvirtinta ESG politika</w:t>
            </w:r>
            <w:hyperlink r:id="rId37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Skelbiama tvarumo ataskaita (2025)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Geltonas signalas: priežiūros institucijos nurodymas dėl valdysenos ir vidaus kontrolės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Investicijų politika</w:t>
            </w:r>
            <w:hyperlink r:id="rId38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Reguliuojamas ES bankas su ESG politika ir tvarumo ataskaita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Finansuojamų emisijų rodiklis neskelbiamas</w:t>
            </w:r>
            <w:hyperlink r:id="rId37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nurodymą prižiūri Finansų inspekcija.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Skelbiama atsinaujinančios energijos finansavimo apimtis (81,3 MW, apie 3,8 % verslo portfelio)</w:t>
            </w:r>
            <w:hyperlink r:id="rId37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Geltonas signalas – priežiūros nurodymas dėl valdysenos.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Coop Pank - Investor page (ratings, calendar),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Coop Pank - Interim report 9M 2026 (unaudited), p. 5, 7,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Coop Pank - Announcement on Finantsinspektsioon precept, 2026-10-21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3">
        <w:r>
          <w:rPr>
            <w:color w:val="2A78D6"/>
            <w:sz w:val="17"/>
          </w:rPr>
          <w:t xml:space="preserve">Coop Pank - Interim report 9M 2026 (unaudited), p. 5, 9,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Coop Pank - Interim report 9M 2026 (unaudited), p. 6, 10,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5">
        <w:r>
          <w:rPr>
            <w:color w:val="2A78D6"/>
            <w:sz w:val="17"/>
          </w:rPr>
          <w:t xml:space="preserve">Coop Pank - Interim report 9M 2026 (unaudited), p. 6-7,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6">
        <w:r>
          <w:rPr>
            <w:color w:val="2A78D6"/>
            <w:sz w:val="17"/>
          </w:rPr>
          <w:t xml:space="preserve">Coop Pank - Investor reporting page (key figures),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7">
        <w:r>
          <w:rPr>
            <w:color w:val="2A78D6"/>
            <w:sz w:val="17"/>
          </w:rPr>
          <w:t xml:space="preserve">Coop Pank - Interim report 9M 2026 (unaudited), p. 9,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3">
        <w:r>
          <w:rPr>
            <w:color w:val="2A78D6"/>
            <w:sz w:val="17"/>
          </w:rPr>
          <w:t xml:space="preserve">Coop Pank - Interim report 9M 2026 (unaudited), p. 5,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8">
        <w:r>
          <w:rPr>
            <w:color w:val="2A78D6"/>
            <w:sz w:val="17"/>
          </w:rPr>
          <w:t xml:space="preserve">Coop Pank - Interim report 9M 2026 (unaudited), p. 10,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5">
        <w:r>
          <w:rPr>
            <w:color w:val="2A78D6"/>
            <w:sz w:val="17"/>
          </w:rPr>
          <w:t xml:space="preserve">Coop Pank - Interim report 9M 2026 (unaudited), p. 6,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19">
        <w:r>
          <w:rPr>
            <w:color w:val="2A78D6"/>
            <w:sz w:val="17"/>
          </w:rPr>
          <w:t xml:space="preserve">Coop Pank - Q3 2026 results announcement,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0">
        <w:r>
          <w:rPr>
            <w:color w:val="2A78D6"/>
            <w:sz w:val="17"/>
          </w:rPr>
          <w:t xml:space="preserve">Coop Pank - Annual report 2025 (consolidated), p.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1">
        <w:r>
          <w:rPr>
            <w:color w:val="2A78D6"/>
            <w:sz w:val="17"/>
          </w:rPr>
          <w:t xml:space="preserve">Coop Pank - Interim report 9M 2026 (unaudited), p. 7,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Coop Pank - Interim report 9M 2026 (unaudited), p. 23,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4">
        <w:r>
          <w:rPr>
            <w:color w:val="2A78D6"/>
            <w:sz w:val="17"/>
          </w:rPr>
          <w:t xml:space="preserve">Coop Pank - Interim report 9M 2026 (unaudited), p. 4, 7,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5">
        <w:r>
          <w:rPr>
            <w:color w:val="2A78D6"/>
            <w:sz w:val="17"/>
          </w:rPr>
          <w:t xml:space="preserve">Coop Pank - Targets and strategy,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6">
        <w:r>
          <w:rPr>
            <w:color w:val="2A78D6"/>
            <w:sz w:val="17"/>
          </w:rPr>
          <w:t xml:space="preserve">Coop Pank - Subordinated bonds page,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7">
        <w:r>
          <w:rPr>
            <w:color w:val="2A78D6"/>
            <w:sz w:val="17"/>
          </w:rPr>
          <w:t xml:space="preserve">Coop Pank - Terms and Conditions of AT1 Temporary Write-Down Notes (4, 5(2), 7), 2023-03-15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1">
        <w:r>
          <w:rPr>
            <w:color w:val="2A78D6"/>
            <w:sz w:val="17"/>
          </w:rPr>
          <w:t xml:space="preserve">Coop Pank - Interim report 9M 2026 (unaudited), p. 7-8,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8">
        <w:r>
          <w:rPr>
            <w:color w:val="2A78D6"/>
            <w:sz w:val="17"/>
          </w:rPr>
          <w:t xml:space="preserve">Coop Pank - Interim report 9M 2026 (unaudited), p. 3,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29">
        <w:r>
          <w:rPr>
            <w:color w:val="2A78D6"/>
            <w:sz w:val="17"/>
          </w:rPr>
          <w:t xml:space="preserve">Äripäev – Coop Pank sai finantsinspektsioonilt ettekirjutuse. Pank peab muutma sisekontrolli ja laenutegevust, 2026-10-21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0">
        <w:r>
          <w:rPr>
            <w:color w:val="2A78D6"/>
            <w:sz w:val="17"/>
          </w:rPr>
          <w:t xml:space="preserve">GlobeNewswire – Coop Pank AS oma aktsiate omandamise tehingud, 2026-10-19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1">
        <w:r>
          <w:rPr>
            <w:color w:val="2A78D6"/>
            <w:sz w:val="17"/>
          </w:rPr>
          <w:t xml:space="preserve">Äripäev – Trigon ostis Coop Panka rohkem kui miljoni euro eest. “Tundsime huvi kogu müüdava paki vastu”, 2026-09-25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7">
        <w:r>
          <w:rPr>
            <w:color w:val="2A78D6"/>
            <w:sz w:val="17"/>
          </w:rPr>
          <w:t xml:space="preserve">Coop Pank - Annual report 2025 (consolidated), p. 36-37,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8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Coop Pank · 9M2026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Coop Pank · 9M2026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Coop Pank</w:t>
    </w:r>
    <w:r>
      <w:rPr>
        <w:b w:val="0"/>
        <w:color w:val="667085"/>
        <w:sz w:val="16"/>
      </w:rPr>
      <w:tab/>
      <w:t>Emitento apžvalga · 9M2026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cooppank.ee/en/investor" TargetMode="External"/><Relationship Id="rId13" Type="http://schemas.openxmlformats.org/officeDocument/2006/relationships/hyperlink" Target="https://res30f.cooppank.ee/image/upload/investor_lehed/aruandlus/ENG/2026/Interim_report_9m_2026_EN.pdf#page=5" TargetMode="External"/><Relationship Id="rId14" Type="http://schemas.openxmlformats.org/officeDocument/2006/relationships/hyperlink" Target="https://view.news.eu.nasdaq.com/view?id=b2038756d5f89f1731d5413c841d20571&amp;lang=en&amp;src=listed" TargetMode="External"/><Relationship Id="rId15" Type="http://schemas.openxmlformats.org/officeDocument/2006/relationships/hyperlink" Target="https://res30f.cooppank.ee/image/upload/investor_lehed/aruandlus/ENG/2026/Interim_report_9m_2026_EN.pdf#page=6" TargetMode="External"/><Relationship Id="rId16" Type="http://schemas.openxmlformats.org/officeDocument/2006/relationships/hyperlink" Target="https://www.cooppank.ee/en/investor/reporting" TargetMode="External"/><Relationship Id="rId17" Type="http://schemas.openxmlformats.org/officeDocument/2006/relationships/hyperlink" Target="https://res30f.cooppank.ee/image/upload/investor_lehed/aruandlus/ENG/2026/Interim_report_9m_2026_EN.pdf#page=9" TargetMode="External"/><Relationship Id="rId18" Type="http://schemas.openxmlformats.org/officeDocument/2006/relationships/hyperlink" Target="https://res30f.cooppank.ee/image/upload/investor_lehed/aruandlus/ENG/2026/Interim_report_9m_2026_EN.pdf#page=10" TargetMode="External"/><Relationship Id="rId19" Type="http://schemas.openxmlformats.org/officeDocument/2006/relationships/hyperlink" Target="https://view.news.eu.nasdaq.com/view?id=b4b85a453f265185186c742780376177c&amp;lang=en&amp;src=listed" TargetMode="External"/><Relationship Id="rId20" Type="http://schemas.openxmlformats.org/officeDocument/2006/relationships/hyperlink" Target="https://res30f.cooppank.ee/image/upload/investor_lehed/uldkoosolekud/teated/eng/26/Coop_Pank_annual_report_consolidated_2025_eng.pdf#page=18" TargetMode="External"/><Relationship Id="rId21" Type="http://schemas.openxmlformats.org/officeDocument/2006/relationships/hyperlink" Target="https://res30f.cooppank.ee/image/upload/investor_lehed/aruandlus/ENG/2026/Interim_report_9m_2026_EN.pdf#page=7" TargetMode="External"/><Relationship Id="rId22" Type="http://schemas.openxmlformats.org/officeDocument/2006/relationships/image" Target="media/image1.png"/><Relationship Id="rId23" Type="http://schemas.openxmlformats.org/officeDocument/2006/relationships/hyperlink" Target="https://res30f.cooppank.ee/image/upload/investor_lehed/aruandlus/ENG/2026/Interim_report_9m_2026_EN.pdf#page=23" TargetMode="External"/><Relationship Id="rId24" Type="http://schemas.openxmlformats.org/officeDocument/2006/relationships/hyperlink" Target="https://res30f.cooppank.ee/image/upload/investor_lehed/aruandlus/ENG/2026/Interim_report_9m_2026_EN.pdf#page=4" TargetMode="External"/><Relationship Id="rId25" Type="http://schemas.openxmlformats.org/officeDocument/2006/relationships/hyperlink" Target="https://www.cooppank.ee/en/investor/management/targets-and-strategy" TargetMode="External"/><Relationship Id="rId26" Type="http://schemas.openxmlformats.org/officeDocument/2006/relationships/hyperlink" Target="https://www.cooppank.ee/en/investor/bonds/subordinated-bonds" TargetMode="External"/><Relationship Id="rId27" Type="http://schemas.openxmlformats.org/officeDocument/2006/relationships/hyperlink" Target="https://res30f.cooppank.ee/image/upload/v1718006426/dokumendid/est/Terms_and_Conditions_of_Coop_Pank_AT1_Temporary_Write-Down_Notes_2022.pdf" TargetMode="External"/><Relationship Id="rId28" Type="http://schemas.openxmlformats.org/officeDocument/2006/relationships/hyperlink" Target="https://res30f.cooppank.ee/image/upload/investor_lehed/aruandlus/ENG/2026/Interim_report_9m_2026_EN.pdf#page=3" TargetMode="External"/><Relationship Id="rId29" Type="http://schemas.openxmlformats.org/officeDocument/2006/relationships/hyperlink" Target="https://news.google.com/rss/articles/CBMi3gFBVV95cUxOaUJNVW5MdGxWeVdLZ3hOXzNnYVdLQjYyTmw4MnV0ckdfTllGdF9hRk0wMFRlZGpSUmd0RGdXNGExMnVCWXhKd3BpLXZnYzV5QnhBZ0NiYXZFLUtfeHM3c0FPT0piZnRyT0stSzJrRkdFUkZWQ2QycUpxQVFIdW1iQmhNQmJHeTJCd01obWVIU2FxdnVlaV9ROUNUZUtmNWJZUnNDcHBuRGszTGlPNExyb19IUEdWbGFvbzItZzNNVmpwNEo1VHlUdGxvNEVmQ1JqamEzMDI3QUlydm4wX2c?oc=5" TargetMode="External"/><Relationship Id="rId30" Type="http://schemas.openxmlformats.org/officeDocument/2006/relationships/hyperlink" Target="https://news.google.com/rss/articles/CBMiuAFBVV95cUxOZ3g3a3hMZGZOaE11V2ltXzhPemQ1Vmc4WG5EZVRwZ09jTDdRckJxaDQwb3Fidzk2ODRLdWY0dVRMMmdNdE9nYUxCVmVaYkdNeFMzZDAyV2hUM1JhYk9OUWtYUWFJVXExc19JMXVxVmtiRjJ6SG5DUUtYb1h2LV9LM0E3YW1nVURmVFVobFdfZTlibTFfT2hBRVdnUm9ack5wZ0hBT3htOHRVeVI2NUlhbVdvaXVISzNq?oc=5" TargetMode="External"/><Relationship Id="rId31" Type="http://schemas.openxmlformats.org/officeDocument/2006/relationships/hyperlink" Target="https://news.google.com/rss/articles/CBMi0wFBVV95cUxOVUpWdjk5LS1fTWU0ZEx4LU1mdHdtTnZ1MFd2bnF0X0RMS0tZR2V4aldCNmdhd2VBQkVURW5HTDFCUmk2XzdTWVVuMnFzbjQtcWF6dllqX3FDQWtCT0xBSDZVSEtaOVFqTy02emNhaV9USEljelEwU2Z5UTdwYjlqSmpkWl8yNFVVdk9pTS05dW5iUVNZWDQ2RzZQV2JPM2tQNTMtbk00TmFXaEMyVVBsdUFwdF9QX2dvWWVsR2FzTDh6UzVyZnd1QnNwV0EzZnZlUlB3?oc=5" TargetMode="External"/><Relationship Id="rId32" Type="http://schemas.openxmlformats.org/officeDocument/2006/relationships/hyperlink" Target="https://news.google.com/rss/articles/CBMi3AFBVV95cUxObGlkUkxJYndzbG4zVDhnazh0Z0NFb3hOMDZEc21wQ21Ca3BMMl9NbUYtei1vdnB0cTRnNGVTTG1ZdXlXaF9UaG1zOU1NRVBxNFBFR3ZOeVpjUF9yTjk2WE14enFVQTFod0d4VW15NlFGZ2FNMUEwT3UtVFNsRkRsQktrcWtsNUo1X1RFaE03eGhjc2JZcm8zNTNZRmFJZ1ZGMHYxRWE5NGMzTWFWOFo3VjhkQ3dhMWZscXZ5T2Jla1FOX3k2d3FSdkJURzJVdWE2eVlDRmtKeDlPVVB6?oc=5" TargetMode="External"/><Relationship Id="rId33" Type="http://schemas.openxmlformats.org/officeDocument/2006/relationships/hyperlink" Target="https://news.google.com/rss/articles/CBMi-AFBVV95cUxQbUR1VWxNMVpOb1VvOHI4M1VoYk1rTWxRVUtKeDRWVHhwNUlfcjdPSmszWGtfUk5sV3NiOVlTeXpETU4yNzZYazBCTWVUOU9IZEZEMHJQX3QwbTdPZmJjeklRdlpVclhwcTRJRlVJamdqTF84VGQtQkJwODZpdEtjU0RwVGZBaExseUlya2dORWhjZ00zajB5UXU1ZE9fSzRZVklkcllrVzBKWDhxSlRLMTFUVmg1Tm5wclFoOU9jMmZ3ZHBMMVVoTHJBbjBvVk5BZEd4aVl0WXcwUGoyZGJlcDZ6Qk0xNjBXZVlmM01MdDFXY3FEWG83Rg?oc=5" TargetMode="External"/><Relationship Id="rId34" Type="http://schemas.openxmlformats.org/officeDocument/2006/relationships/hyperlink" Target="https://news.google.com/rss/articles/CBMivAFBVV95cUxPVWgwV3NiY0hvNzJpTm5lU3d6UUtPZElqeUtFbldJUWxLc1MzMXp6Y2J4M2JrakVLOUM3QzhhMDVmakpfLXB5Rk1LdVBGV19Db2tPWV9XeUpSVkJacWw4UG1TLTBTZmg5dHNqMWFWOTluZVRvM25Ddkhjd3I1d0ppMkFVRWNid1RneGhwWnBGVlhicDJQNFJnWUltMjJjeTZpeVUzRk9KVE5BYnZRMFVMM2UwSVVhNWR3N1hvdA?oc=5" TargetMode="External"/><Relationship Id="rId35" Type="http://schemas.openxmlformats.org/officeDocument/2006/relationships/hyperlink" Target="https://news.google.com/rss/articles/CBMilgFBVV95cUxNcDhtOG9KOFhBVkFzeDFWTFBhZzdvTlJhMFhhWkFTVThxaEtndHRwYnlKZ1JNdGF2RWNOZkhvUXI0T0UtbDlEWVlyaVZmVmN1cGFYd2hTcmpCQ2NyX3FQb1ctMlBjUHlscDk1S1dzMlpsSk5IeXlVTWFVSTNOUWlLRzQ4cDhueWhXbV9xWWVrQlV4V2FWRHc?oc=5" TargetMode="External"/><Relationship Id="rId36" Type="http://schemas.openxmlformats.org/officeDocument/2006/relationships/hyperlink" Target="https://news.google.com/rss/articles/CBMirgFBVV95cUxPejJ6OE9Hd0MxYVdCeGpteExxeUxvNndFc2dNekhtUkRyTEdiR2RuLWxlU09MLUppTzNuZ2VFTEpGUVZkUjY0MGx5UWR5UTYxZkxhYnJ0ODA5cUtfaXdfek93YzJKa3FlZ2ljZWtzVVJlUzQyMGlFd0Q3MS1BU05mUVpRLW1EblFsYnJRQl9IVkY0VjBIZVE5N1ZuY0h3ZkpBSHFQeXl0ZG1DRXFlc2c?oc=5" TargetMode="External"/><Relationship Id="rId37" Type="http://schemas.openxmlformats.org/officeDocument/2006/relationships/hyperlink" Target="https://res30f.cooppank.ee/image/upload/investor_lehed/uldkoosolekud/teated/eng/26/Coop_Pank_annual_report_consolidated_2025_eng.pdf#page=36" TargetMode="External"/><Relationship Id="rId38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