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7,875 %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1 224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2 045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apskaičiuota įrankio);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(apskaičiuota įrankio)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(apskaičiuota įrankio)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II ketvirtis silpnesnis:</w:t>
      </w:r>
      <w:r>
        <w:rPr>
          <w:b w:val="0"/>
        </w:rPr>
        <w:t xml:space="preserve"> EBITDA –28 % iki 55,7 mln. EUR, grynasis rezultatas –8,6 mln. EUR; vadovybės teigimu, 2025 m. II ketv. dažnio palaikymo paslaugų rezultatą laikinai pakėlė rinkos atidarymas, dabar segmentas normalizavosi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Konkurencija ir skalūnai:</w:t>
      </w:r>
      <w:r>
        <w:rPr>
          <w:b w:val="0"/>
        </w:rPr>
        <w:t xml:space="preserve"> Estijos mažmeninės rinkos dalis –4 p. p. iki 38 % dėl aršios konkurencijos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skalūnų elektrinių gamyba –49 % dėl žemesnių rinkos kainų ir importo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Rinkos kainos II ketv.:</w:t>
      </w:r>
      <w:r>
        <w:rPr>
          <w:b w:val="0"/>
        </w:rPr>
        <w:t xml:space="preserve"> elektra Estijoje 59,7 EUR/MWh (–1,9 %), Lietuvoje 78,2 (+26,5 %) – Estijos kainą ribojo jungties su Latvija pralaidumas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dujos TTF 45,6 EUR/MWh (+28 %), CO2 76,5 EUR/t, Brent 96,9 USD/bbl (+45,3 %)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2030+:</w:t>
      </w:r>
      <w:r>
        <w:rPr>
          <w:b w:val="0"/>
        </w:rPr>
        <w:t xml:space="preserve"> bendrovė tikisi didesnio elektros kainų svyravimo ir siekia padengti apie du trečdalius Estijos elektros paklausos prieaugio iki 2030 m., pridėdama iki 350 MW valdomų galių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www.err.ee/1609686014/prokuratuur-algatas-eesti-energia-erikontrolli-tottu-kriminaalmenetluse" TargetMode="External"/><Relationship Id="rId42" Type="http://schemas.openxmlformats.org/officeDocument/2006/relationships/hyperlink" Target="https://public-docs.enefit.com/ettevottest/investorile/2025/EE-aruanne-2025-EN_FINAL.pdf#page=18" TargetMode="External"/><Relationship Id="rId43" Type="http://schemas.openxmlformats.org/officeDocument/2006/relationships/hyperlink" Target="https://public-docs.enefit.ee/ettevottest/investorile/SPO.pdf" TargetMode="External"/><Relationship Id="rId44" Type="http://schemas.openxmlformats.org/officeDocument/2006/relationships/hyperlink" Target="https://public-docs.enefit.com/ettevottest/investorile/EE-credit-opinion-update-2026-04-13.pdf#page=5" TargetMode="External"/><Relationship Id="rId45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