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Hepsor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Estonia · Residential and commercial real estate developer (Estonia, Latvia)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9A6400"/>
                <w:sz w:val="18"/>
                <w:shd w:val="clear" w:color="auto" w:fill="FDF1D8"/>
              </w:rPr>
              <w:t xml:space="preserve">  ●  WATCH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(no credit rating found)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Q3 2026 interim report - expected late October /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Estonia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Hepsor AS ordinary share (HPR1T)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EE3100082306  ·  share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Watch.</w:t>
            </w:r>
            <w:r>
              <w:rPr>
                <w:b w:val="0"/>
                <w:color w:val="1B2430"/>
                <w:sz w:val="21"/>
              </w:rPr>
              <w:t xml:space="preserve"> Hepsor posted a EUR 2.2m loss in 1H because few homes were handed over (23 vs 102)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The equity ratio fell to 23.1%, while the bond covenant requires at least 20%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Sales contracts are rising (129 homes, +36%, calculated by the tool), and revenue should follow as projects complete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Revenue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6.2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71.9 %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-2.21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889.3 %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 ratio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23.1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3.7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56.2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38.4 %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Loss due to the cycle:</w:t>
      </w:r>
      <w:r>
        <w:rPr>
          <w:b w:val="0"/>
        </w:rPr>
        <w:t xml:space="preserve"> 1H revenue EUR 6.2m (22.1m), EBITDA EUR -0.9m, net loss EUR 2.2m (profit 0.3m); revenue is recognised only on handover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Sales rising:</w:t>
      </w:r>
      <w:r>
        <w:rPr>
          <w:b w:val="0"/>
        </w:rPr>
        <w:t xml:space="preserve"> 129 first-time home sales contracts for EUR 25.7m (95 and 18.5m a year earlier); 513 homes under construction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Debt rising:</w:t>
      </w:r>
      <w:r>
        <w:rPr>
          <w:b w:val="0"/>
        </w:rPr>
        <w:t xml:space="preserve"> interest-bearing loans EUR 58.7m (47.7m at end-2025); net debt about EUR 56.2m (calculated by the tool); cash EUR 2.5m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New bonds:</w:t>
      </w:r>
      <w:r>
        <w:rPr>
          <w:b w:val="0"/>
        </w:rPr>
        <w:t xml:space="preserve"> EUR 5m of 9.5% bonds (2029) issued in September 2026, 2.4x oversubscribed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EE3100082306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Hepsor AS ordinary share (HPR1T)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share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Added from the ISIN list 2026-10-22; terms from the Nasdaq Baltic list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38.4*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6.2*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71.9 %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4.54*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3.46*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1.46*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-0.92*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163.0 %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1.04*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0.28*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-2.21*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2.49 EURm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88.8*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91.8*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103.7*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35.2 %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23.9*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16.0 %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24.8%*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29.5%*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26.8%*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23.1%*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3.7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43.9ᶜ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40.6ᶜ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56.2ᶜ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38.4 %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(tool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calculated by the tool.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psor_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Residential and commercial developer in Estonia and Latvia:</w:t>
      </w:r>
      <w:r>
        <w:rPr>
          <w:b w:val="0"/>
        </w:rPr>
        <w:t xml:space="preserve"> 29 projects, about 195,000 sq m of sellable area, sales potential EUR 542m</w:t>
      </w:r>
      <w:hyperlink r:id="rId20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Next completions:</w:t>
      </w:r>
      <w:r>
        <w:rPr>
          <w:b w:val="0"/>
        </w:rPr>
        <w:t xml:space="preserve"> Manufaktuuri 12 in Tallinn (49 homes, handovers from Q3, 27 sold), Dzelzavas 74C in Riga (103 homes, Q4, 42 sold)</w:t>
      </w:r>
      <w:hyperlink r:id="rId21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revenue EUR 35.4m (38.4m), profit EUR 1.0m (2.1m), equity ratio 29.5% (24.8%)</w:t>
      </w:r>
      <w:hyperlink r:id="rId17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Adjusted equity ratio (with subordinated shareholder loans) 37.9%; EUR 1.06m of dividends paid in 1H</w:t>
      </w:r>
      <w:hyperlink r:id="rId13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Start handing over Manufaktuuri 12 homes from Q3 2026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Awaiting the Q3 report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 plan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Launch another 119 homes by year-end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plan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Hepsor AS share (HPR1T, Nasdaq Tallinn); 3,912,522 shares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 Market price and dividend policy not found.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Debt covenants:</w:t>
      </w:r>
      <w:r>
        <w:rPr>
          <w:b w:val="0"/>
        </w:rPr>
        <w:t xml:space="preserve"> the bonds (EUR 8m 2028 and EUR 5m 2029, both 9.5%) require an equity ratio ≥20% – currently 23.1%</w:t>
      </w:r>
      <w:hyperlink r:id="rId23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color w:val="2A78D6"/>
          <w:vertAlign w:val="superscript"/>
        </w:rPr>
        <w:t>,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elevated risk for shareholders – a loss-making half and a thin capital buffer; results should improve as homes are handed over.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Few completed units to sell:</w:t>
      </w:r>
      <w:r>
        <w:rPr>
          <w:b w:val="0"/>
        </w:rPr>
        <w:t xml:space="preserve"> H1 revenue EUR 6.2m (22.1m) due to a small carry-over of completed unsold apartments – 23 homes handed over (102)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; gross margin 6.7% (13.0%), net loss EUR 2.2m</w:t>
      </w:r>
      <w:hyperlink r:id="rId24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Market:</w:t>
      </w:r>
      <w:r>
        <w:rPr>
          <w:b w:val="0"/>
        </w:rPr>
        <w:t xml:space="preserve"> rising construction costs and dearer borrowing with flat rents hurt commercial projects; housing demand is growing strongly, so the Veidema quarter in Riga is being switched to residential</w:t>
      </w:r>
      <w:hyperlink r:id="rId21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Outlook:</w:t>
      </w:r>
      <w:r>
        <w:rPr>
          <w:b w:val="0"/>
        </w:rPr>
        <w:t xml:space="preserve"> 513 homes under construction (255 a year earlier), a basis for future revenue; first-time sales of 129 homes for EUR 25.7m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3.43%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0.71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No news about the issuer found in this period.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Real estate development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2026-07-25 – 2026-10-23: 0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company says it uses innovative engineering solutions that make its buildings more energy-efficient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climate targets or sustainability report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Real Estate and Construction policy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17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Energy-efficient new buildings in the EU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sustainability report or transition plan found.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a small developer with no ESG risks found.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 buildings are built energy-efficient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No sustainability report.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Real Estate and Construction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Hepsor - Consolidated unaudited interim report Q2 2026, p. 6, 20,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Hepsor - Consolidated unaudited interim report Q2 2026, p. 20,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Hepsor - Bonds 2026 (Series II), 2026-09-07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2">
        <w:r>
          <w:rPr>
            <w:color w:val="2A78D6"/>
            <w:sz w:val="17"/>
          </w:rPr>
          <w:t xml:space="preserve">Hepsor - Consolidated unaudited interim report Q2 2026, p. 6,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5">
        <w:r>
          <w:rPr>
            <w:color w:val="2A78D6"/>
            <w:sz w:val="17"/>
          </w:rPr>
          <w:t xml:space="preserve">Hepsor - Consolidated unaudited interim report Q2 2026, p. 4, 20,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Hepsor - News: record construction volumes and 9.5% bonds, 2026-08-24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3">
        <w:r>
          <w:rPr>
            <w:color w:val="2A78D6"/>
            <w:sz w:val="17"/>
          </w:rPr>
          <w:t xml:space="preserve">Hepsor - Consolidated unaudited interim report Q2 2026, p. 20, 23,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7">
        <w:r>
          <w:rPr>
            <w:color w:val="2A78D6"/>
            <w:sz w:val="17"/>
          </w:rPr>
          <w:t xml:space="preserve">Hepsor - Key financials (investor web page),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Hepsor - Consolidated unaudited interim report Q2 2026, p. 29,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0">
        <w:r>
          <w:rPr>
            <w:color w:val="2A78D6"/>
            <w:sz w:val="17"/>
          </w:rPr>
          <w:t xml:space="preserve">Hepsor - Consolidated unaudited interim report Q2 2026, p. 8, 13,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1">
        <w:r>
          <w:rPr>
            <w:color w:val="2A78D6"/>
            <w:sz w:val="17"/>
          </w:rPr>
          <w:t xml:space="preserve">Hepsor - Consolidated unaudited interim report Q2 2026, p. 7,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13">
        <w:r>
          <w:rPr>
            <w:color w:val="2A78D6"/>
            <w:sz w:val="17"/>
          </w:rPr>
          <w:t xml:space="preserve">Hepsor - Consolidated unaudited interim report Q2 2026, p. 20, 22,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Hepsor - Consolidated unaudited interim report Q2 2026, p. 26,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3">
        <w:r>
          <w:rPr>
            <w:color w:val="2A78D6"/>
            <w:sz w:val="17"/>
          </w:rPr>
          <w:t xml:space="preserve">Hepsor - 9.5% bond 2025-2028,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Hepsor - Consolidated unaudited interim report Q2 2026, p. 21, 22,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15">
        <w:r>
          <w:rPr>
            <w:color w:val="2A78D6"/>
            <w:sz w:val="17"/>
          </w:rPr>
          <w:t xml:space="preserve">Hepsor - Consolidated unaudited interim report Q2 2026, p. 4,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5">
        <w:r>
          <w:rPr>
            <w:color w:val="2A78D6"/>
            <w:sz w:val="17"/>
          </w:rPr>
          <w:t xml:space="preserve">SEB Real Estate and Construction sector policy (2026-04-23), p. 6-10, 2026-04-23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Hepsor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Hepsor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Hepsor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hepsor.ee/wp-content/uploads/2026/01/Hepsor-Q2_2026_ENG.pdf#page=6" TargetMode="External"/><Relationship Id="rId13" Type="http://schemas.openxmlformats.org/officeDocument/2006/relationships/hyperlink" Target="https://hepsor.ee/wp-content/uploads/2026/01/Hepsor-Q2_2026_ENG.pdf#page=20" TargetMode="External"/><Relationship Id="rId14" Type="http://schemas.openxmlformats.org/officeDocument/2006/relationships/hyperlink" Target="https://hepsor.ee/en/for-investors/bonds/bonds-2026/" TargetMode="External"/><Relationship Id="rId15" Type="http://schemas.openxmlformats.org/officeDocument/2006/relationships/hyperlink" Target="https://hepsor.ee/wp-content/uploads/2026/01/Hepsor-Q2_2026_ENG.pdf#page=4" TargetMode="External"/><Relationship Id="rId16" Type="http://schemas.openxmlformats.org/officeDocument/2006/relationships/hyperlink" Target="https://hepsor.ee/en/hepsor-reaches-record-construction-volumes-and-issues-bonds-yielding-95/" TargetMode="External"/><Relationship Id="rId17" Type="http://schemas.openxmlformats.org/officeDocument/2006/relationships/hyperlink" Target="https://hepsor.ee/en/for-investors/stock/key-financials/" TargetMode="External"/><Relationship Id="rId18" Type="http://schemas.openxmlformats.org/officeDocument/2006/relationships/hyperlink" Target="https://hepsor.ee/wp-content/uploads/2026/01/Hepsor-Q2_2026_ENG.pdf#page=29" TargetMode="External"/><Relationship Id="rId19" Type="http://schemas.openxmlformats.org/officeDocument/2006/relationships/image" Target="media/image1.png"/><Relationship Id="rId20" Type="http://schemas.openxmlformats.org/officeDocument/2006/relationships/hyperlink" Target="https://hepsor.ee/wp-content/uploads/2026/01/Hepsor-Q2_2026_ENG.pdf#page=8" TargetMode="External"/><Relationship Id="rId21" Type="http://schemas.openxmlformats.org/officeDocument/2006/relationships/hyperlink" Target="https://hepsor.ee/wp-content/uploads/2026/01/Hepsor-Q2_2026_ENG.pdf#page=7" TargetMode="External"/><Relationship Id="rId22" Type="http://schemas.openxmlformats.org/officeDocument/2006/relationships/hyperlink" Target="https://hepsor.ee/wp-content/uploads/2026/01/Hepsor-Q2_2026_ENG.pdf#page=26" TargetMode="External"/><Relationship Id="rId23" Type="http://schemas.openxmlformats.org/officeDocument/2006/relationships/hyperlink" Target="https://hepsor.ee/en/for-investors/bonds/9-5-bond-2025-2028/" TargetMode="External"/><Relationship Id="rId24" Type="http://schemas.openxmlformats.org/officeDocument/2006/relationships/hyperlink" Target="https://hepsor.ee/wp-content/uploads/2026/01/Hepsor-Q2_2026_ENG.pdf#page=21" TargetMode="External"/><Relationship Id="rId25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