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Energy utility (hydro and gas CHP generation, distribution and transmission assets, retail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4.952%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2.42%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0.5%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3.612%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144.6m (+7%), rating Baa2 stable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6.9%*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calculated by the tool)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severe storm on 2026-08-22 caused widespread power outages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3,035.9m, total assets EUR 5,259.6m, an equity ratio of 57.7% (calculated by the tool); ROE 6.9% (5.2%)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6.9%, FFO / net debt 35%, rating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937 MW installed at 2026-06-30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Exceeded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Approved project portfolio of 1,144 MW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target, financed with green bonds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−17%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progress depends on how much the gas plants run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weather lifted sales:</w:t>
      </w:r>
      <w:r>
        <w:rPr>
          <w:b w:val="0"/>
        </w:rPr>
        <w:t xml:space="preserve"> revenue +11% to EUR 941.8m on higher gas, power and heat sales in a cold start to the year; EBITDA +5% to EUR 284.6m on new solar and wind output and higher CHP output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prices:</w:t>
      </w:r>
      <w:r>
        <w:rPr>
          <w:b w:val="0"/>
        </w:rPr>
        <w:t xml:space="preserve"> the Latvian average price was EUR 102.6/MWh (87.3 a year earlier); the Nord Pool system price more than doubled on cold weather, higher demand and low Nordic hydro (22 TWh below the long-term average)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and gas:</w:t>
      </w:r>
      <w:r>
        <w:rPr>
          <w:b w:val="0"/>
        </w:rPr>
        <w:t xml:space="preserve"> Daugava HPP output fell 4% to 1.6 TWh as river inflow was 24% below the long-term average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TTF gas averaged EUR 40/MWh (-7%), EU storage was 38% full (46% a year earlier)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new wind and solar parks will be commissioned in 2026-2027, adding about 2.2 TWh of annual generation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on 2026-10-05 board member Māris Kuņickis left the company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and LMT:</w:t>
      </w:r>
      <w:r>
        <w:rPr>
          <w:b w:val="0"/>
        </w:rPr>
        <w:t xml:space="preserve"> on 2026-10-22 it was reported that Latvenergo is ready to continue cooperating in the buy-out process of Tet and LMT stakes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Gas prices:</w:t>
      </w:r>
      <w:r>
        <w:rPr>
          <w:b w:val="0"/>
        </w:rPr>
        <w:t xml:space="preserve"> on 2026-10-14 the company's analyst warned that natural gas has not been this expensive for years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or oil &amp; gas extraction.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two Riga CHPs run on natural gas (34% of output in 2025)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fossil fuel policy restricts coal and oil &amp; gas extraction, not gas-fired generation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Significant corruption or ethics breaches in 2024-2025: 0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a 2020 procurement case the anti-corruption bureau KNAB closed the criminal proceedings with no wrongdoing established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Latvian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66% of electricity from renewable sources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score 54, in the top 30% of electric utilities worldwide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score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bonds are green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climate neutrality by 2050 and climate-neutral generation by 2040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investments 97% (target ≥80%)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Serious accidents and major pollution cases in 2024-2025: 0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 xml:space="preserve"> and the Fossil Fuels policy for the gas plants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 reduction targets for 2030 and 2040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emissions across all scopes independently verified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energy management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Zero corruption cases and a fraud risk management plan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Absolute Scope 1-3 totals not found in the report text.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clear renewable transition strategy and sound ESG practice.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Generation emission intensity 0.100 t CO2/MWh in 2025 (target 0.06 by 2030)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−17% vs 2021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investments 97%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share 66%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Mostly hydro, with fast-growing wind and solar and clear climate targets; the gas plants remain as backup capacity.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1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2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3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4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5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2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6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7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41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48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9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42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9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0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1" Type="http://schemas.openxmlformats.org/officeDocument/2006/relationships/hyperlink" Target="https://webapp.sebgroup.com/mb/mblib.nsf/dld/80AF6A2E5F88CDC2C12586B1002E33C2?opendocument" TargetMode="External"/><Relationship Id="rId42" Type="http://schemas.openxmlformats.org/officeDocument/2006/relationships/hyperlink" Target="https://nasdaqbaltic.com/market/upload/reports/elek/2025_ar_en_con.pdf#page=29" TargetMode="External"/><Relationship Id="rId43" Type="http://schemas.openxmlformats.org/officeDocument/2006/relationships/hyperlink" Target="https://jauns.lv/raksts/zinas/407457-starp-latvenergo-koncerna-iepirkumu-uzvaretajiem-atrodami-vairaki-martinsona-motokluba-ziedotaji" TargetMode="External"/><Relationship Id="rId44" Type="http://schemas.openxmlformats.org/officeDocument/2006/relationships/hyperlink" Target="https://nasdaqbaltic.com/market/upload/reports/elek/2025_ar_en_con.pdf#page=31" TargetMode="External"/><Relationship Id="rId45" Type="http://schemas.openxmlformats.org/officeDocument/2006/relationships/hyperlink" Target="https://nasdaqbaltic.com/market/upload/reports/elek/2025_ar_en_con.pdf#page=26" TargetMode="External"/><Relationship Id="rId46" Type="http://schemas.openxmlformats.org/officeDocument/2006/relationships/hyperlink" Target="https://nasdaqbaltic.com/market/upload/reports/elek/2025_ar_en_con.pdf#page=28" TargetMode="External"/><Relationship Id="rId47" Type="http://schemas.openxmlformats.org/officeDocument/2006/relationships/hyperlink" Target="https://sebgroup.com/sustainability/our-sustainability-strategy/policies" TargetMode="External"/><Relationship Id="rId48" Type="http://schemas.openxmlformats.org/officeDocument/2006/relationships/hyperlink" Target="https://nasdaqbaltic.com/market/upload/reports/elek/2025_ar_en_con.pdf#page=10" TargetMode="External"/><Relationship Id="rId49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