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1H2026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Luminor Bank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Estija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- affirmed after the OTP announcement (grade to be confirmed; 2025 annual report refers to 'current A2 rating')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3Q 2026 interim report - expected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Estija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Luminor Bank 3.551% 2029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XS3079969104  ·  3,551 % · 2029-06-12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Luminor Bank 4.042% 2028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XS2888497067  ·  4,042 % · 2028-09-10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Luminor 7.375% perpetual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XS2982074861  ·  7,375 % · neterminuota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Pozicija tvarkinga.</w:t>
            </w:r>
            <w:r>
              <w:rPr>
                <w:b w:val="0"/>
                <w:color w:val="1B2430"/>
                <w:sz w:val="21"/>
              </w:rPr>
              <w:t xml:space="preserve"> Kapitalas ir likvidumas gerokai viršija reikalavimus, o Moody's po OTP Bank sandorio paskelbimo reitingą paliko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 Pelnas sumažėjo maždaug penktadaliu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 7,75 % obligacija XS2633112565 išpirkta 2026 m. birželį ir nebėra apyvartoje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Grynasis pelnas</w:t>
            </w:r>
            <w:r>
              <w:rPr>
                <w:b w:val="0"/>
                <w:color w:val="667085"/>
                <w:sz w:val="14"/>
              </w:rPr>
              <w:t xml:space="preserve">  ·  2Q2026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37,4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19,0 % vs 2Q2025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ROE</w:t>
            </w:r>
            <w:r>
              <w:rPr>
                <w:b w:val="0"/>
                <w:color w:val="667085"/>
                <w:sz w:val="14"/>
              </w:rPr>
              <w:t xml:space="preserve">  ·  1H2026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7,7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0,9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CET1 rodiklis</w:t>
            </w:r>
            <w:r>
              <w:rPr>
                <w:b w:val="0"/>
                <w:color w:val="667085"/>
                <w:sz w:val="14"/>
              </w:rPr>
              <w:t xml:space="preserve">  ·  1H2026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19,6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 p. p. vs 1H2025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LCR</w:t>
            </w:r>
            <w:r>
              <w:rPr>
                <w:b w:val="0"/>
                <w:color w:val="667085"/>
                <w:sz w:val="14"/>
              </w:rPr>
              <w:t xml:space="preserve">  ·  1H2026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187,0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23,7 p. p. vs 1H2025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Pelnas sumažėjo maždaug penktadaliu:</w:t>
      </w:r>
      <w:r>
        <w:rPr>
          <w:b w:val="0"/>
        </w:rPr>
        <w:t xml:space="preserve"> 2026 m. I pusm. grynasis pelnas 72,0 mln. EUR, prieš metus – 91,6 mln.; vien II ketv. – 37,4 mln. EUR (46,2 mln.). Nuosavo kapitalo grąža 7,7 %</w:t>
      </w:r>
      <w:hyperlink r:id="rId14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Kapitalas ir likvidumas gerokai viršija reikalavimus:</w:t>
      </w:r>
      <w:r>
        <w:rPr>
          <w:b w:val="0"/>
        </w:rPr>
        <w:t xml:space="preserve"> CET1 19,6 %, bendras kapitalas 23,7 %. MREL 36,34 % TREA, kai reikalaujama 23,69 % plius buferiai. Likvidumas: LCR 187,0 %, NSFR 142,3 %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Keičiasi savininkas:</w:t>
      </w:r>
      <w:r>
        <w:rPr>
          <w:b w:val="0"/>
        </w:rPr>
        <w:t xml:space="preserve"> 2026-07-20 paskelbta, kad OTP Bank įsigis 100 % Luminor iš Blackstone konsorciumo ir DNB. Laukiama priežiūros institucijų leidimų. Moody's reitingą ir perspektyvą paliko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Dalis kapitalo bus grąžinta:</w:t>
      </w:r>
      <w:r>
        <w:rPr>
          <w:b w:val="0"/>
        </w:rPr>
        <w:t xml:space="preserve"> 2026-07-17 ECB leido sumažinti CET1 kapitalą 200,0 mln. EUR; tikimasi IV ketv.</w:t>
      </w:r>
      <w:hyperlink r:id="rId17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Pigesnis finansavimas:</w:t>
      </w:r>
      <w:r>
        <w:rPr>
          <w:b w:val="0"/>
        </w:rPr>
        <w:t xml:space="preserve"> grąžinta 300 mln. EUR pirmaeilė obligacija (MS+4,471 %) ir išleista pirmoji 500 mln. EUR senior non-preferred obligacija (MS+1,28 %)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XS3079969104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Luminor Bank 3.551% 2029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3,551 %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2029-06-12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preferred; callable at par 2028-06-12, then 3M EURIBOR+1.55%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XS2888497067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Luminor Bank 4.042% 2028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4,042 %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2028-09-10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preferred; callable at par 2027-09-10, then 3M EURIBOR+1.50%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XS2982074861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Luminor 7.375% perpetual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7,375 %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neterminuota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⚠ Perpetual, issued 2025-02-12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1H2025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1H2026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202,2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157,7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91,6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72,0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21,4 %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Grynosios palūkanų pajamos,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507,7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427,3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214,7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214,4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0,1 %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Visos veiklos pajamos,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632,8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544,7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269,5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271,7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0,8 %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Sąnaudų ir pajamų santykis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54,5 %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64,7 %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60,1 %ᶜ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65,5 %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5,4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11,7 %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8,6 %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7,7 %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Rizikos kaina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0,01 %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0,14 %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palūkanų marža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3,33 %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2,71 %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2,84 %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2,70 %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0,14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Paskolos klientams, mln. EUR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10 535,4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11 491,4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10 820,5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11 903,2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10,0 %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Klientų indėliai, mln. EUR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11 352,7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11 510,7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11 240,5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12 275,5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9,2 %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CET1 rodiklis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20,1 %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20,2 %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20,6 %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19,6 %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Bendrasis kapitalo rodiklis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22,7 %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24,6 %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25,2 %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23,7 %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1,5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Sverto rodiklis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9,1 %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10,0 %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10,3 %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9,9 %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0,4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MREL (% TREA)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35,54 %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36,34 %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0,8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LCR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205,1 %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174,6 %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163,3 %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187,0 %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23,7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NSFR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143,6 %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134,1 %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133,8 %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142,3 %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8,5 p. p. vs 1H2025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Neveiksnių paskolų dalis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1,8 %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1,7 %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2,1 %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0,4 p. p. vs 1H2025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(įrankio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apskaičiuota įrankio.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minor_l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Paskolos klientams 11 903,2 mln. EUR (+3,6 % nuo 2025 m. pab.), indėliai 12 275,5 mln. EUR (+6,6 %; pokyčiai apskaičiuoti įrankio)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Grynosios palūkanų pajamos 1H – 214,4 mln. EUR; grynoji palūkanų marža 2,70 % (2025 m. – 2,71 %)</w:t>
      </w:r>
      <w:hyperlink r:id="rId19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color w:val="2A78D6"/>
          <w:vertAlign w:val="superscript"/>
        </w:rPr>
        <w:t>,</w:t>
      </w:r>
      <w:hyperlink r:id="rId22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Sąnaudų / pajamų santykis 65,5 % (2025 m. – 64,7 %); rizikos kaina 0,14 % (0,01 %); neveiksnios paskolos 2,1 % (2,0 %)</w:t>
      </w:r>
      <w:hyperlink r:id="rId19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1H 2026 išmokėta 74,0 mln. EUR dividendų už 2025 m.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grynasis pelnas 157,7 mln. EUR (2024 m. – 202,2 mln., −22,0 %), ROE 8,6 %, CET1 20,2 %, bendras kapitalas 24,6 %</w:t>
      </w:r>
      <w:hyperlink r:id="rId18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2025 m. duomenys II ketv. ataskaitoje perskaičiuoti:</w:t>
      </w:r>
      <w:r>
        <w:rPr>
          <w:b w:val="0"/>
        </w:rPr>
        <w:t xml:space="preserve"> grynosios palūkanų pajamos 427,3 mln. EUR (metinėje – 419,8 mln.), visos pajamos 544,7 mln. (537,2 mln.)</w:t>
      </w:r>
      <w:hyperlink r:id="rId19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color w:val="2A78D6"/>
          <w:vertAlign w:val="superscript"/>
        </w:rPr>
        <w:t>,</w:t>
      </w:r>
      <w:hyperlink r:id="rId28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Išleisti senior non-preferred obligacijas išlaikant dabartinį A2 reitingą (2025 m. ataskaita)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1H 2026 išleista 500 mln. EUR SNP; Moody's reitingą patvirtino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Įvykdyta: išleista 500 mln. EUR SNP (MS+1,28 %), o išpirkta 300 mln. EUR senior obligacija (MS+4,471 %) – finansavimas atpigo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Sumažinti CET1 kapitalą 200,0 mln. EUR (gautas leidimas 2026-07)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Numatyta IV ketv. 2026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Naujas planas: ECB leidimas gautas 2026-07-17. Kapitalas gerokai viršija reikalavimus (CET1 19,6 %), todėl perteklius grąžinamas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Savininkai: Blackstone konsorciumas (80,05 %) ir DNB (19,95 %) (2025 m. ataskaita)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2026-07-20 paskelbtas pardavimas OTP Bank (100 %), laukiama leidimų</w:t>
            </w:r>
            <w:hyperlink r:id="rId29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21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Pakeista: savininkai susitarė parduoti 100 % OTP Bank; Moody's po pranešimo reitingą ir perspektyvą patvirtino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</w:pPr>
            <w:r>
              <w:rPr>
                <w:b/>
                <w:sz w:val="17"/>
              </w:rPr>
              <w:t>Pakeista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Turimos priemonės:</w:t>
      </w:r>
      <w:r>
        <w:rPr>
          <w:b w:val="0"/>
        </w:rPr>
        <w:t xml:space="preserve"> dvi pirmaeilės (senior preferred) obligacijos – 4,042 % 2028 (emitento pirkimo teisė už nominalią vertę 2027-09-10) ir 3,551 % 2029 (pirkimo teisė 2028-06-12) – bei neterminuota 7,375 % obligacija</w:t>
      </w:r>
      <w:hyperlink r:id="rId30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color w:val="2A78D6"/>
          <w:vertAlign w:val="superscript"/>
        </w:rPr>
        <w:t>,</w:t>
      </w:r>
      <w:hyperlink r:id="rId31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color w:val="2A78D6"/>
          <w:vertAlign w:val="superscript"/>
        </w:rPr>
        <w:t>,</w:t>
      </w:r>
      <w:hyperlink r:id="rId32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. 7,75 % 2027 obligacijos XS2633112565 pirkimo data buvo 2026-06-08, ir Luminor šią 300 mln. EUR obligaciją išpirko 2026 m. I pusm., todėl jos nebėra apyvartoje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Obligacijų turėtojams:</w:t>
      </w:r>
      <w:r>
        <w:rPr>
          <w:b w:val="0"/>
        </w:rPr>
        <w:t xml:space="preserve"> kapitalo ir MREL atsargos gerokai viršija reikalavimus, likvidumas padidėjo. 200 mln. EUR CET1 sumažinimas atsargą sumažins; bankas poveikio CET1 rodikliui šaltiniuose nenurodo</w:t>
      </w:r>
      <w:hyperlink r:id="rId16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OTP sandoris:</w:t>
      </w:r>
      <w:r>
        <w:rPr>
          <w:b w:val="0"/>
        </w:rPr>
        <w:t xml:space="preserve"> po pranešimo Moody's reitingą ir perspektyvą paliko, todėl poveikio reitingui kol kas nėra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 Abi turimas pirmaeiles obligacijas emitentas gali išpirkti už nominalią vertę 2027 ir 2028 m.</w:t>
      </w:r>
      <w:hyperlink r:id="rId30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color w:val="2A78D6"/>
          <w:vertAlign w:val="superscript"/>
        </w:rPr>
        <w:t>,</w:t>
      </w:r>
      <w:hyperlink r:id="rId31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pelningumas mažėja (pelnas −21 % per 1H), tačiau kapitalas, MREL ir likvidumas – su didelėmis atsargomis. Pagrindinis įvykis turėtojams – savininko keitimas į OTP. Stebėti: 3Q ataskaitą, OTP sandorio leidimus, kapitalo sumažinimą IV ketv.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Palūkanos ir konkurencija:</w:t>
      </w:r>
      <w:r>
        <w:rPr>
          <w:b w:val="0"/>
        </w:rPr>
        <w:t xml:space="preserve"> grynosios palūkanų pajamos +1,6 % iki 111,2 mln. EUR dėl didesnių indėlių ir indėlių maržų kylant bazinėms palūkanoms, bet paskolų maržas mažino konkurencija; NIM 2,75 % (prieš metus 2,95 %)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Sąnaudos:</w:t>
      </w:r>
      <w:r>
        <w:rPr>
          <w:b w:val="0"/>
        </w:rPr>
        <w:t xml:space="preserve"> išlaidos +3,2 % iki 90,5 mln. EUR, iš jų IT migracijos 20,3 mln. EUR; personalo išlaidos +16,6 % perimant veiklas ir samdant programuotojus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 Dauguma sektoriaus mokesčių baigėsi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Perspektyva:</w:t>
      </w:r>
      <w:r>
        <w:rPr>
          <w:b w:val="0"/>
        </w:rPr>
        <w:t xml:space="preserve"> vadovybė regiono perspektyvą vertina teigiamai ir IV ketv. planuoja 200 mln. EUR CET1 kapitalo sumažinimą</w:t>
      </w:r>
      <w:hyperlink r:id="rId33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3,43 %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0,71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OTP sandoris:</w:t>
      </w:r>
      <w:r>
        <w:rPr>
          <w:b w:val="0"/>
        </w:rPr>
        <w:t xml:space="preserve"> 2026-10-13 Europos Komisija leido OTP Bank įsigyti Luminor Holding</w:t>
      </w:r>
      <w:hyperlink r:id="rId34">
        <w:r>
          <w:rPr>
            <w:color w:val="2A78D6"/>
            <w:vertAlign w:val="superscript"/>
            <w:sz w:val="17"/>
          </w:rPr>
          <w:t xml:space="preserve">26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Dėmesio – pirkėjo ryšiai su Rusija:</w:t>
      </w:r>
      <w:r>
        <w:rPr>
          <w:b w:val="0"/>
        </w:rPr>
        <w:t xml:space="preserve"> 2026-09-28–29 spauda (remdamasi Bloomberg) rašė, kad tarp OTP klientų yra su „Gazprom“ siejamų įmonių ir kad OTP svarsto visiškai pasitraukti iš Rusijos. Tai susiję su pirkėju OTP, ne su Luminor veikla</w:t>
      </w:r>
      <w:hyperlink r:id="rId35">
        <w:r>
          <w:rPr>
            <w:color w:val="2A78D6"/>
            <w:vertAlign w:val="superscript"/>
            <w:sz w:val="17"/>
          </w:rPr>
          <w:t xml:space="preserve">27</w:t>
        </w:r>
      </w:hyperlink>
      <w:r>
        <w:rPr>
          <w:color w:val="2A78D6"/>
          <w:vertAlign w:val="superscript"/>
        </w:rPr>
        <w:t>,</w:t>
      </w:r>
      <w:hyperlink r:id="rId36">
        <w:r>
          <w:rPr>
            <w:color w:val="2A78D6"/>
            <w:vertAlign w:val="superscript"/>
            <w:sz w:val="17"/>
          </w:rPr>
          <w:t xml:space="preserve">28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Obligacijos:</w:t>
      </w:r>
      <w:r>
        <w:rPr>
          <w:b w:val="0"/>
        </w:rPr>
        <w:t xml:space="preserve"> 2026-09-26 Latvijos spauda rašė, kad Luminor Bank anuliuoja 500 mln. EUR vertės obligacijas; kurios emisijos – antraštėje nenurodyta</w:t>
      </w:r>
      <w:hyperlink r:id="rId37">
        <w:r>
          <w:rPr>
            <w:color w:val="2A78D6"/>
            <w:vertAlign w:val="superscript"/>
            <w:sz w:val="17"/>
          </w:rPr>
          <w:t xml:space="preserve">29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EN, EE, LT, LV), 2026-07-25 – 2026-10-23: 27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B42318"/>
                <w:sz w:val="14"/>
                <w:shd w:val="clear" w:color="auto" w:fill="FDE7E5"/>
              </w:rPr>
              <w:t xml:space="preserve"> DĖMESIO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B2430"/>
                  <w:sz w:val="18"/>
                </w:rPr>
                <w:t xml:space="preserve">Už „Luminor“ norinčio įsigyti vengrų OTP ryškėja Kremliaus šešėlis: tarp klientų – su „Gazprom“ siejamos įmonės</w:t>
              </w:r>
            </w:hyperlink>
            <w:r>
              <w:rPr>
                <w:b w:val="0"/>
                <w:color w:val="667085"/>
                <w:sz w:val="15"/>
              </w:rPr>
              <w:t xml:space="preserve">   15min.lt  ·  dar 1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9A6400"/>
                <w:sz w:val="14"/>
                <w:shd w:val="clear" w:color="auto" w:fill="FDF1D8"/>
              </w:rPr>
              <w:t xml:space="preserve"> SANDORIS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8">
              <w:r>
                <w:rPr>
                  <w:color w:val="1B2430"/>
                  <w:sz w:val="18"/>
                </w:rPr>
                <w:t xml:space="preserve">European Commission clears Luminor deal for OTP Bank stock</w:t>
              </w:r>
            </w:hyperlink>
            <w:r>
              <w:rPr>
                <w:b w:val="0"/>
                <w:color w:val="667085"/>
                <w:sz w:val="15"/>
              </w:rPr>
              <w:t xml:space="preserve">   AD HOC NEWS  ·  dar 1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2026-10-15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9A6400"/>
                <w:sz w:val="14"/>
                <w:shd w:val="clear" w:color="auto" w:fill="FDF1D8"/>
              </w:rPr>
              <w:t xml:space="preserve"> SANDORIS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9">
              <w:r>
                <w:rPr>
                  <w:color w:val="1B2430"/>
                  <w:sz w:val="18"/>
                </w:rPr>
                <w:t xml:space="preserve">OTP Bank wins EU approval for Luminor while OTP Bank stock trades at EUR 114.05</w:t>
              </w:r>
            </w:hyperlink>
            <w:r>
              <w:rPr>
                <w:b w:val="0"/>
                <w:color w:val="667085"/>
                <w:sz w:val="15"/>
              </w:rPr>
              <w:t xml:space="preserve">   AD HOC NEWS  ·  dar 1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9A6400"/>
                <w:sz w:val="14"/>
                <w:shd w:val="clear" w:color="auto" w:fill="FDF1D8"/>
              </w:rPr>
              <w:t xml:space="preserve"> SANDORIS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0">
              <w:r>
                <w:rPr>
                  <w:color w:val="1B2430"/>
                  <w:sz w:val="18"/>
                </w:rPr>
                <w:t xml:space="preserve">„Luminor“ grupę siekiantis įsigyti Vengrijos bankas OTP svarsto trauktis iš Rusijos</w:t>
              </w:r>
            </w:hyperlink>
            <w:r>
              <w:rPr>
                <w:b w:val="0"/>
                <w:color w:val="667085"/>
                <w:sz w:val="15"/>
              </w:rPr>
              <w:t xml:space="preserve">   LRT  ·  dar 2 panašūs pranešimai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2026-09-26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5FA8"/>
                <w:sz w:val="14"/>
                <w:shd w:val="clear" w:color="auto" w:fill="E6F0FB"/>
              </w:rPr>
              <w:t xml:space="preserve"> OBLIGACIJOS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7">
              <w:r>
                <w:rPr>
                  <w:color w:val="1B2430"/>
                  <w:sz w:val="18"/>
                </w:rPr>
                <w:t xml:space="preserve">"Luminor Bank" anulē obligācijas 500 miljonu eiro vērtībā</w:t>
              </w:r>
            </w:hyperlink>
            <w:r>
              <w:rPr>
                <w:b w:val="0"/>
                <w:color w:val="667085"/>
                <w:sz w:val="15"/>
              </w:rPr>
              <w:t xml:space="preserve">   tv3.lv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VADOVAI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1">
              <w:r>
                <w:rPr>
                  <w:color w:val="1B2430"/>
                  <w:sz w:val="18"/>
                </w:rPr>
                <w:t xml:space="preserve">„Luminor“ mažmeninei bankininkystei pradeda vadovauti Ieva Linkutė-Urbonė</w:t>
              </w:r>
            </w:hyperlink>
            <w:r>
              <w:rPr>
                <w:b w:val="0"/>
                <w:color w:val="667085"/>
                <w:sz w:val="15"/>
              </w:rPr>
              <w:t xml:space="preserve">   LRT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VADOVAI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2">
              <w:r>
                <w:rPr>
                  <w:color w:val="1B2430"/>
                  <w:sz w:val="18"/>
                </w:rPr>
                <w:t xml:space="preserve">„Luminor“ privačios bankininkystės vadovas nepasitiki politiniais sprendimais: II pensijų pakopos pinigus valdys pats</w:t>
              </w:r>
            </w:hyperlink>
            <w:r>
              <w:rPr>
                <w:b w:val="0"/>
                <w:color w:val="667085"/>
                <w:sz w:val="15"/>
              </w:rPr>
              <w:t xml:space="preserve">   vz.lt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REZULTATAI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3">
              <w:r>
                <w:rPr>
                  <w:color w:val="1B2430"/>
                  <w:sz w:val="18"/>
                </w:rPr>
                <w:t xml:space="preserve">Luminor posts 157 million euro profit for 2025 / Article</w:t>
              </w:r>
            </w:hyperlink>
            <w:r>
              <w:rPr>
                <w:b w:val="0"/>
                <w:color w:val="667085"/>
                <w:sz w:val="15"/>
              </w:rPr>
              <w:t xml:space="preserve">   Latvian Public Media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4">
              <w:r>
                <w:rPr>
                  <w:color w:val="1B2430"/>
                  <w:sz w:val="18"/>
                </w:rPr>
                <w:t xml:space="preserve">Luminor“ ekonomistas Žygimantas Mauricas: šilta žiema būtų geriausia dovana europiečių piniginėms</w:t>
              </w:r>
            </w:hyperlink>
            <w:r>
              <w:rPr>
                <w:b w:val="0"/>
                <w:color w:val="667085"/>
                <w:sz w:val="15"/>
              </w:rPr>
              <w:t xml:space="preserve">   Infoerdve.lt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5">
              <w:r>
                <w:rPr>
                  <w:color w:val="1B2430"/>
                  <w:sz w:val="18"/>
                </w:rPr>
                <w:t xml:space="preserve">Luminor lends €1.1M to fast-growing Latvian timber firm Rēzeknes Mežs</w:t>
              </w:r>
            </w:hyperlink>
            <w:r>
              <w:rPr>
                <w:b w:val="0"/>
                <w:color w:val="667085"/>
                <w:sz w:val="15"/>
              </w:rPr>
              <w:t xml:space="preserve">   Dealroom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Bankas nevykdo veiklos išskirtuose sektoriuose.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Tvaraus NT ir atsinaujinančios energetikos paskolos auga (2025 m. – 305,4 mln. EUR)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 JT Pasauliniu susitarimu ar OECD gairėmis susijusių ginčų viešuose šaltiniuose ir naujienose nerasta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Baudų dėl pinigų plovimo prevencijos neskelbta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Vienintelė 2025 m. priežiūros pastaba – Finantsinspektsioon nurodymas dėl bazinių mokėjimo paslaugų tvarkos</w:t>
            </w:r>
            <w:hyperlink r:id="rId47">
              <w:r>
                <w:rPr>
                  <w:color w:val="2A78D6"/>
                  <w:vertAlign w:val="superscript"/>
                  <w:sz w:val="15"/>
                </w:rPr>
                <w:t xml:space="preserve">31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UK, US OFAC konsoliduotuose sankcijų sąrašuose (automatinė patikra 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Bendravardis sąrašuose: Luminor Oy – Suomijos logistikos įmonė, susijusi su Siberica Oy (pagal ES sąrašo įrašą apie Gabriel Temin), ne Luminor Bank AS.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Bendravardis sąrašuose: Luminor Logistics – slapyvardis tame pačiame US OFAC įrašų rinkinyje kaip Luminor Oy ir Siberica Oy (logistika), ne Luminor Bank AS.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apie pačią Luminor nerasta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Dauguma naujienų – apie OTP Bank sandorį.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2026-09-28–29 spauda rašė apie pirkėjo OTP klientų sąsajas su Rusija – tai susiję su pirkėju, ne su Luminor veikla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6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2026-07-25 – 2026-10-23: 27 pranešimų, iš jų su neigiamu žodžiu antraštėje – 1 (plačiau – skiltyje „Ką rašo spauda“).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Antraštės su neigiamu žodžiu: „Už „Luminor“ norinčio įsigyti vengrų OTP ryškėja Kremliaus šešėlis: tarp klientų – su „Gazprom“ siejamos įmonės“ (15min.lt, 2026-09-29).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Tvaraus NT ir atsinaujinančios energetikos paskolos 2025 m. – 305,4 mln. EUR (2024 m. – 182,4 mln.), tikslas – 700 mln. EUR iki 2030 m.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Žalios ar su tvarumu susietos obligacijos sudaro 7,4 % obligacijų portfelio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Sustainalytics ESG rizikos reitingas 18,4 (maža rizika)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Tikslas – klimato neutralumas iki 2050 m.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Finansuojamos emisijos skaičiuojamos PCAF metodu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Žalios ar su tvarumu susietos obligacijos sudaro 7,4 % obligacijų portfelio, tikslas – 50 % iki 2030 m.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Gavus leidimus savininku taps OTP Bank (Vengrija)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neturi bankų sektoriaus politikos, todėl taikoma investicijų politika bei aplinkosaugos ir socialinė / žmogaus teisių politikos</w:t>
            </w:r>
            <w:hyperlink r:id="rId49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Valdymo ar tarptautinių normų pažeidimų nerasta (greita paieška 2026-10-22)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Finansuojamos emisijos atskleidžiamos pagal PCAF (3 apimtis – 3,2 mln. t CO2e 2025 m.)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Tikslas – klimato neutralumas iki 2050 m.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Tvaraus NT ir atsinaujinančios energetikos paskolos 305,4 mln. EUR, tikslas – 700 mln. EUR iki 2030 m.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Sustainalytics ESG rizikos reitingas 18,4 (maža rizika)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Įsipareigojimas gerbti žmogaus teises</w:t>
            </w:r>
            <w:hyperlink r:id="rId50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PPTFP ir sankcijų atitiktis</w:t>
            </w:r>
            <w:hyperlink r:id="rId50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Antikorupcijos priemonės ir pranešėjų kanalai</w:t>
            </w:r>
            <w:hyperlink r:id="rId51">
              <w:r>
                <w:rPr>
                  <w:color w:val="2A78D6"/>
                  <w:vertAlign w:val="superscript"/>
                  <w:sz w:val="15"/>
                </w:rPr>
                <w:t xml:space="preserve">35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Galėtų būti geriau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Viešo skolinimo išimčių sąrašo (anglis, nafta ir dujos, ginklai) ir narystės JT Pasauliniame susitarime nerasta.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kapitalas, likvidumas ir ESG praktika – tvirti.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Finansuojamos emisijos (3 apimtis) 2025 m. – 3,2 mln. t CO2e, PCAF metodas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Moterų dalis stebėtojų taryboje – 33,3 % (tikslas 40 %)</w:t>
            </w:r>
            <w:hyperlink r:id="rId52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Sustainalytics ESG rizikos reitingas 18,4, maža rizika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Tvirta ESG praktika: matuojamos finansuojamos emisijos (PCAF), klimato neutralumo tikslas, augančios žaliosios paskolos ir mažos rizikos ESG reitingas. Savininku taps OTP Bank.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Luminor Bank - Interim report 2Q 2026, p. 15,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Luminor Bank - Annual report 2025, p. 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Luminor Bank - Interim report 2Q 2026, p. 5,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Final Terms Series 11 - 7.750% notes XS2633112565, 2023-06-06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6">
        <w:r>
          <w:rPr>
            <w:color w:val="2A78D6"/>
            <w:sz w:val="17"/>
          </w:rPr>
          <w:t xml:space="preserve">Luminor Bank - Interim report 2Q 2026,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4">
        <w:r>
          <w:rPr>
            <w:color w:val="2A78D6"/>
            <w:sz w:val="17"/>
          </w:rPr>
          <w:t xml:space="preserve">Luminor Bank - Interim report 2Q 2026, p. 5, 16,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Luminor Bank - Interim report 2Q 2026, p. 4, 15,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7">
        <w:r>
          <w:rPr>
            <w:color w:val="2A78D6"/>
            <w:sz w:val="17"/>
          </w:rPr>
          <w:t xml:space="preserve">Luminor Bank - Interim report 2Q 2026, p. 4, 8,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8">
        <w:r>
          <w:rPr>
            <w:color w:val="2A78D6"/>
            <w:sz w:val="17"/>
          </w:rPr>
          <w:t xml:space="preserve">Luminor Bank - Annual report 2025, p. 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9">
        <w:r>
          <w:rPr>
            <w:color w:val="2A78D6"/>
            <w:sz w:val="17"/>
          </w:rPr>
          <w:t xml:space="preserve">Luminor Bank - Interim report 2Q 2026, p. 16,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0">
        <w:r>
          <w:rPr>
            <w:color w:val="2A78D6"/>
            <w:sz w:val="17"/>
          </w:rPr>
          <w:t xml:space="preserve">Luminor Bank - Annual report 2025, p. 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Luminor Bank - Interim report 2Q 2026, p. 9,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Luminor Bank - Annual report 2025,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3">
        <w:r>
          <w:rPr>
            <w:color w:val="2A78D6"/>
            <w:sz w:val="17"/>
          </w:rPr>
          <w:t xml:space="preserve">Luminor Bank - Interim report 2Q 2026, p. 6,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4">
        <w:r>
          <w:rPr>
            <w:color w:val="2A78D6"/>
            <w:sz w:val="17"/>
          </w:rPr>
          <w:t xml:space="preserve">Luminor Bank - Interim report 2Q 2026, p. 7,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5">
        <w:r>
          <w:rPr>
            <w:color w:val="2A78D6"/>
            <w:sz w:val="17"/>
          </w:rPr>
          <w:t xml:space="preserve">Luminor Bank - Annual report 2025, p. 10,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6">
        <w:r>
          <w:rPr>
            <w:color w:val="2A78D6"/>
            <w:sz w:val="17"/>
          </w:rPr>
          <w:t xml:space="preserve">Luminor Bank - Interim report 2Q 2026, p. 8,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18">
        <w:r>
          <w:rPr>
            <w:color w:val="2A78D6"/>
            <w:sz w:val="17"/>
          </w:rPr>
          <w:t xml:space="preserve">Luminor Bank - Annual report 2025, p. 7-8,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8">
        <w:r>
          <w:rPr>
            <w:color w:val="2A78D6"/>
            <w:sz w:val="17"/>
          </w:rPr>
          <w:t xml:space="preserve">Luminor Bank - Annual report 2025,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9">
        <w:r>
          <w:rPr>
            <w:color w:val="2A78D6"/>
            <w:sz w:val="17"/>
          </w:rPr>
          <w:t xml:space="preserve">Luminor Bank - Annual report 2025,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17">
        <w:r>
          <w:rPr>
            <w:color w:val="2A78D6"/>
            <w:sz w:val="17"/>
          </w:rPr>
          <w:t xml:space="preserve">Luminor Bank - Interim report 2Q 2026, p. 4,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0">
        <w:r>
          <w:rPr>
            <w:color w:val="2A78D6"/>
            <w:sz w:val="17"/>
          </w:rPr>
          <w:t xml:space="preserve">Final Terms Series 13 - 4.042% notes XS2888497067, 2024-09-06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1">
        <w:r>
          <w:rPr>
            <w:color w:val="2A78D6"/>
            <w:sz w:val="17"/>
          </w:rPr>
          <w:t xml:space="preserve">Final Terms Series 15 - 3.551% notes XS3079969104, 2025-06-10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2">
        <w:r>
          <w:rPr>
            <w:color w:val="2A78D6"/>
            <w:sz w:val="17"/>
          </w:rPr>
          <w:t xml:space="preserve">Luminor - Primary placements (bond list), 2026-09-28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3">
        <w:r>
          <w:rPr>
            <w:color w:val="2A78D6"/>
            <w:sz w:val="17"/>
          </w:rPr>
          <w:t xml:space="preserve">Luminor Bank - Interim report 2Q 2026, p. 3, 2026-08-11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4">
        <w:r>
          <w:rPr>
            <w:color w:val="2A78D6"/>
            <w:sz w:val="17"/>
          </w:rPr>
          <w:t xml:space="preserve">marketscreener.com – European Commission Clears OTP Bank's Acquisition of Luminor Holding, 2026-10-13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5">
        <w:r>
          <w:rPr>
            <w:color w:val="2A78D6"/>
            <w:sz w:val="17"/>
          </w:rPr>
          <w:t xml:space="preserve">15min.lt – Už „Luminor“ norinčio įsigyti vengrų OTP ryškėja Kremliaus šešėlis: tarp klientų – su „Gazprom“ siejamos įmonės, 2026-09-29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36">
        <w:r>
          <w:rPr>
            <w:color w:val="2A78D6"/>
            <w:sz w:val="17"/>
          </w:rPr>
          <w:t xml:space="preserve">Retail Banker International – Hungary’s OTP Bank weighs Russia exit amid Luminor purchase – report, 2026-09-29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37">
        <w:r>
          <w:rPr>
            <w:color w:val="2A78D6"/>
            <w:sz w:val="17"/>
          </w:rPr>
          <w:t xml:space="preserve">tv3.lv – "Luminor Bank" anulē obligācijas 500 miljonu eiro vērtībā, 2026-09-26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30.</w:t>
        <w:tab/>
      </w:r>
      <w:hyperlink r:id="rId46">
        <w:r>
          <w:rPr>
            <w:color w:val="2A78D6"/>
            <w:sz w:val="17"/>
          </w:rPr>
          <w:t xml:space="preserve">Luminor Bank - Annual report 2025, p. 19,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31.</w:t>
        <w:tab/>
      </w:r>
      <w:hyperlink r:id="rId47">
        <w:r>
          <w:rPr>
            <w:color w:val="2A78D6"/>
            <w:sz w:val="17"/>
          </w:rPr>
          <w:t xml:space="preserve">Luminor Bank - Annual report 2025, p. 16,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32.</w:t>
        <w:tab/>
      </w:r>
      <w:hyperlink r:id="rId48">
        <w:r>
          <w:rPr>
            <w:color w:val="2A78D6"/>
            <w:sz w:val="17"/>
          </w:rPr>
          <w:t xml:space="preserve">Luminor Bank - Annual report 2025, p.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33.</w:t>
        <w:tab/>
      </w:r>
      <w:hyperlink r:id="rId49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34.</w:t>
        <w:tab/>
      </w:r>
      <w:hyperlink r:id="rId50">
        <w:r>
          <w:rPr>
            <w:color w:val="2A78D6"/>
            <w:sz w:val="17"/>
          </w:rPr>
          <w:t xml:space="preserve">Luminor Bank - Annual report 2025, p.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35.</w:t>
        <w:tab/>
      </w:r>
      <w:hyperlink r:id="rId51">
        <w:r>
          <w:rPr>
            <w:color w:val="2A78D6"/>
            <w:sz w:val="17"/>
          </w:rPr>
          <w:t xml:space="preserve">Luminor Bank - Annual report 2025, p. 23, 28,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36.</w:t>
        <w:tab/>
      </w:r>
      <w:hyperlink r:id="rId52">
        <w:r>
          <w:rPr>
            <w:color w:val="2A78D6"/>
            <w:sz w:val="17"/>
          </w:rPr>
          <w:t xml:space="preserve">Luminor Bank - Annual report 2025, p. 29, 2026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Luminor Bank · 1H2026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Luminor Bank · 1H2026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Luminor Bank</w:t>
    </w:r>
    <w:r>
      <w:rPr>
        <w:b w:val="0"/>
        <w:color w:val="667085"/>
        <w:sz w:val="16"/>
      </w:rPr>
      <w:tab/>
      <w:t>Emitento apžvalga · 1H2026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luminor.lv/sites/default/files/docs/finansu_parskati/luminor_bank_interim_report_2q26.pdf#page=15" TargetMode="External"/><Relationship Id="rId13" Type="http://schemas.openxmlformats.org/officeDocument/2006/relationships/hyperlink" Target="https://luminor.lv/sites/default/files/docs/finansu_parskati/luminor_bank_annual_report_2025-lv.pdf#page=9" TargetMode="External"/><Relationship Id="rId14" Type="http://schemas.openxmlformats.org/officeDocument/2006/relationships/hyperlink" Target="https://luminor.lv/sites/default/files/docs/finansu_parskati/luminor_bank_interim_report_2q26.pdf#page=5" TargetMode="External"/><Relationship Id="rId15" Type="http://schemas.openxmlformats.org/officeDocument/2006/relationships/hyperlink" Target="https://luminor.ee/s3fs-public/documents/final-terms-11.pdf" TargetMode="External"/><Relationship Id="rId16" Type="http://schemas.openxmlformats.org/officeDocument/2006/relationships/hyperlink" Target="https://luminor.lv/sites/default/files/docs/finansu_parskati/luminor_bank_interim_report_2q26.pdf" TargetMode="External"/><Relationship Id="rId17" Type="http://schemas.openxmlformats.org/officeDocument/2006/relationships/hyperlink" Target="https://luminor.lv/sites/default/files/docs/finansu_parskati/luminor_bank_interim_report_2q26.pdf#page=4" TargetMode="External"/><Relationship Id="rId18" Type="http://schemas.openxmlformats.org/officeDocument/2006/relationships/hyperlink" Target="https://luminor.lv/sites/default/files/docs/finansu_parskati/luminor_bank_annual_report_2025-lv.pdf#page=7" TargetMode="External"/><Relationship Id="rId19" Type="http://schemas.openxmlformats.org/officeDocument/2006/relationships/hyperlink" Target="https://luminor.lv/sites/default/files/docs/finansu_parskati/luminor_bank_interim_report_2q26.pdf#page=16" TargetMode="External"/><Relationship Id="rId20" Type="http://schemas.openxmlformats.org/officeDocument/2006/relationships/hyperlink" Target="https://luminor.lv/sites/default/files/docs/finansu_parskati/luminor_bank_annual_report_2025-lv.pdf#page=2" TargetMode="External"/><Relationship Id="rId21" Type="http://schemas.openxmlformats.org/officeDocument/2006/relationships/hyperlink" Target="https://luminor.lv/sites/default/files/docs/finansu_parskati/luminor_bank_interim_report_2q26.pdf#page=9" TargetMode="External"/><Relationship Id="rId22" Type="http://schemas.openxmlformats.org/officeDocument/2006/relationships/hyperlink" Target="https://luminor.lv/sites/default/files/docs/finansu_parskati/luminor_bank_annual_report_2025-lv.pdf#page=8" TargetMode="External"/><Relationship Id="rId23" Type="http://schemas.openxmlformats.org/officeDocument/2006/relationships/hyperlink" Target="https://luminor.lv/sites/default/files/docs/finansu_parskati/luminor_bank_interim_report_2q26.pdf#page=6" TargetMode="External"/><Relationship Id="rId24" Type="http://schemas.openxmlformats.org/officeDocument/2006/relationships/hyperlink" Target="https://luminor.lv/sites/default/files/docs/finansu_parskati/luminor_bank_interim_report_2q26.pdf#page=7" TargetMode="External"/><Relationship Id="rId25" Type="http://schemas.openxmlformats.org/officeDocument/2006/relationships/hyperlink" Target="https://luminor.lv/sites/default/files/docs/finansu_parskati/luminor_bank_annual_report_2025-lv.pdf#page=10" TargetMode="External"/><Relationship Id="rId26" Type="http://schemas.openxmlformats.org/officeDocument/2006/relationships/hyperlink" Target="https://luminor.lv/sites/default/files/docs/finansu_parskati/luminor_bank_interim_report_2q26.pdf#page=8" TargetMode="External"/><Relationship Id="rId27" Type="http://schemas.openxmlformats.org/officeDocument/2006/relationships/image" Target="media/image1.png"/><Relationship Id="rId28" Type="http://schemas.openxmlformats.org/officeDocument/2006/relationships/hyperlink" Target="https://luminor.lv/sites/default/files/docs/finansu_parskati/luminor_bank_annual_report_2025-lv.pdf" TargetMode="External"/><Relationship Id="rId29" Type="http://schemas.openxmlformats.org/officeDocument/2006/relationships/hyperlink" Target="https://luminor.lv/sites/default/files/docs/finansu_parskati/luminor_bank_annual_report_2025-lv.pdf#page=5" TargetMode="External"/><Relationship Id="rId30" Type="http://schemas.openxmlformats.org/officeDocument/2006/relationships/hyperlink" Target="https://luminor.ee/s3fs-public/documents/final-terms-13.pdf" TargetMode="External"/><Relationship Id="rId31" Type="http://schemas.openxmlformats.org/officeDocument/2006/relationships/hyperlink" Target="https://luminor.ee/s3fs-public/documents/final-terms-15.pdf" TargetMode="External"/><Relationship Id="rId32" Type="http://schemas.openxmlformats.org/officeDocument/2006/relationships/hyperlink" Target="https://luminor.lv/en/placements" TargetMode="External"/><Relationship Id="rId33" Type="http://schemas.openxmlformats.org/officeDocument/2006/relationships/hyperlink" Target="https://luminor.lv/sites/default/files/docs/finansu_parskati/luminor_bank_interim_report_2q26.pdf#page=3" TargetMode="External"/><Relationship Id="rId34" Type="http://schemas.openxmlformats.org/officeDocument/2006/relationships/hyperlink" Target="https://news.google.com/rss/articles/CBMivgFBVV95cUxOV3dWYzYtSmE2Z2JHMklyZjlJNDhNR01LS0dDeWhDaWl3bGVnVFJsNVhENmlTSVNGbzJJS2MxWTJJLVlFMGNtQUYtd0U3eTJnZlRRYzFQYjRNMnBJMnRoUF81X04tejdjMXg3WFVja01Zb3M1QXMtb2pMU2VBam11aGhVR211eGotUjQ3UlJpTUd0NDR3Wm1POU9uQ0hmQWdpZmgwNjBjcU5meWRGcENVSHJEQ085aHVjTllTYmxB?oc=5" TargetMode="External"/><Relationship Id="rId35" Type="http://schemas.openxmlformats.org/officeDocument/2006/relationships/hyperlink" Target="https://news.google.com/rss/articles/CBMi3AFBVV95cUxOZ0Zkdl92dHhvWm9qWkthZjJYUFluYzF6TmtMakVxVHhYdldlWHYtNXcxY1N4eFd0a2JsckRlOTkxM3RBbFJrVU1ETDZINmhQaFNHaFZaVUJVSTc5XzktOE1jTVZLUGoyVVVwWVZEVnpsZXc5VXZTdHJSa3JXbGJ5bzZfWGJtNU1SbjlhQmlfdFVyejZWaHg5NU9Hb2VKVWItZlFqWHkxenR5ZmVfTFFYQ2JCMlUwb1dJV1k1Z3dIaGJBUmE0YXZiOGpCNXFkMk42NURjOTlWdGlnM3Z1?oc=5" TargetMode="External"/><Relationship Id="rId36" Type="http://schemas.openxmlformats.org/officeDocument/2006/relationships/hyperlink" Target="https://news.google.com/rss/articles/CBMid0FVX3lxTE9lNF9aWko3LWZ4X250WC1GaENad2hrdW9iYU1tc2RVaE1jeUU4TVpRdlJTWE9nblFMNTVUNzE3WlhFNkcwSkJkUGdZNU84emFSNFFmYnlzaFpWVGxtbUVkYUJoVmdiajNzQ09nWDlWNGVwWU9UbGtF?oc=5" TargetMode="External"/><Relationship Id="rId37" Type="http://schemas.openxmlformats.org/officeDocument/2006/relationships/hyperlink" Target="https://news.google.com/rss/articles/CBMikAFBVV95cUxPSWxBMUtIUnYxZ1hkU2xPX092V2gwS2VuVjk1UzZLaVVyLS1oaXpSZjNBODNpTEtveFRuVjR4VEZuYXB5Wl9TQk1XbkFYemZ1eUtjcVUwcUc0YTU2UHZSSTV0TGpvY0pZMDdocFdReWVzdnlQMVNNYlV6ckZ2NzZEczlqQzFwdGlycW9zWlJwenI?oc=5" TargetMode="External"/><Relationship Id="rId38" Type="http://schemas.openxmlformats.org/officeDocument/2006/relationships/hyperlink" Target="https://news.google.com/rss/articles/CBMivgFBVV95cUxQS0I2c1pwLWJmc0FBMnlvekktZUZiLUcxMy1aLS1TMU1sZlo0bnBLa0lyMGtwVFBYRFZFQ1JwM3hUTElmMEdYcFUtUWt6R01iU2dKdVA1ZXRJZ0RNekhTU0VBbjlabWlaRnU1NXYzYmZtcXpRZ0t5Xy15UHlwNzVOODcxeVNiVnVrQTVlSVV2Y3NQRkpCaTktLVFIWldhZElsaTM5cGl4bXVrS1p1MmZneFk4UlZMRGMtb1NUR01R?oc=5" TargetMode="External"/><Relationship Id="rId39" Type="http://schemas.openxmlformats.org/officeDocument/2006/relationships/hyperlink" Target="https://news.google.com/rss/articles/CBMi2gFBVV95cUxQTENGY3d5UHIyVm4zNFd2Z1c3ZF91SWVzaHQySlFyQ0pHU2JxMlNndjNOdENDQVdpNi1POGw4WklRd2pKZU1nYWNkcVJxTGpiWVR1Ul9QVHduR1laZ2pubjFaLXVEaHB2RE93ZlZiTTNSaVNFYVdwZ2xwMTZtYmhvc2hrZHdJOG9McnZVSEFDTHJfbmFCaVFsMER2Y0dOZ2xWcWttU2huR1hHWW15VGl5SElNYUpJVC1kYV9lOWhzY3hPTDUwTmc4ejlKWEl2UlQzUFM1QUNaUlJnZw?oc=5" TargetMode="External"/><Relationship Id="rId40" Type="http://schemas.openxmlformats.org/officeDocument/2006/relationships/hyperlink" Target="https://news.google.com/rss/articles/CBMixwFBVV95cUxPSXFLcVNjbUNOa0tfOU5rU0JMaFMyTzE4aGF0eWR4RTlSekJiMFF3R2MzajFEb1BTTWZRZk16LW1WWXBxaVVPNVljb2pHcGZKLVNXa0NkMGlHWjVPanZkQlVjM1daZ1FLdGY2dG1nNmZFYUJUWTZoQ3hQbkFhVHI1aEVHWVlQWWRkOU5wWXNSY3BzdzlGcV8tbUJuYUlkOS1vTXRvTlZDbVd0TU5JdVN1aFZDZFZFMi1SNS1uRXBYVHE4aUZDZHc4?oc=5" TargetMode="External"/><Relationship Id="rId41" Type="http://schemas.openxmlformats.org/officeDocument/2006/relationships/hyperlink" Target="https://news.google.com/rss/articles/CBMiugFBVV95cUxNTnNwYlVVaTVnVFR5TTZfa2lCNU4yeGt2dHV1Z054bVdSXzlYc082NGhVRElwaEJUaHlZYTYtc0pjVG1ZcUNWY3FTd2pPQ0dxOGRBY0VHVWFmX05ROGlvU3ZrWTF0c3AxSTJXWEhTb3VlZ0k2UXRSM0JtaFdNdzJ6RGNVZHRyX1o3YTVDVUxONjdMS1RCWVV0VURyd25lLU1RU0RDOXMwTUZzR1BsNmhjUmtiR29aM2JoZnc?oc=5" TargetMode="External"/><Relationship Id="rId42" Type="http://schemas.openxmlformats.org/officeDocument/2006/relationships/hyperlink" Target="https://news.google.com/rss/articles/CBMi9gFBVV95cUxPUDMwSXVLUERRLWRhOGlSb202N0JkU2RBSzlwWE1BRk5EWlY3OExqSUw4eEJtc2E4ZlFLUUVpOWVlbl9KaTdsQWV0UkJpb1hneW9FZVE1VG9FS2UwVGJoOW0wamp3Q0xxNDVxd1NTR1JIcVlTdTlVUWtETjVMQlQ3Qk5HYnlELUNiU3ZxcnhOenlXdF9XTWFKMk1KQnpmRDhFUmR1a1ZQX2hiUDYwbF8xVVhNaWZMdEwwbUR6bWEzVk9nanhIei04U0NwejJvamVwX0pxYnB2WG90dDFQQWp1UWNVa3g3SHhOZGNZRXgzcmotY1U3N1E?oc=5" TargetMode="External"/><Relationship Id="rId43" Type="http://schemas.openxmlformats.org/officeDocument/2006/relationships/hyperlink" Target="https://news.google.com/rss/articles/CBMiqwFBVV95cUxPR2xSM2JycUxjQ2VVSXBaUHR0aERmX0lDY183cnk5MkpQN2tmNnhFUGtETXZYR085aHZadHRfSW9Nck9EanJkSlJjMXcxSDlrRlpJN1JKYlphUHdueXRERllVQjhkRE1peUstbGNvTTBLLXVucDZJQlhDbkhjZDgzQVRaSTFpYnV3d3M5YWFiNVd2SU96ZUJCOG90bVZKbUMxVEY1TkJKVjd6TDg?oc=5" TargetMode="External"/><Relationship Id="rId44" Type="http://schemas.openxmlformats.org/officeDocument/2006/relationships/hyperlink" Target="https://news.google.com/rss/articles/CBMiuAFBVV95cUxPOHFVZjBPZWNhWkdTZkZYOXNra24wOUtiQ0RScmZ6dThkeDJkWGxDRHFPcDRMTGo1RjJXU0FGTTZvRzh0YTZpNzZDREM2bGRzWWhDZHItc2k0TGRBY1FNWUZSQ1c5eWFBc0E5NlEzWWt3V0NWZTF1UnFxT2dLaFJNYjdiSG1nSUNQQmhmNjhrZ1dBYTBSb2ZuOEhheWRQZTBla2dtZXM1ZGRVQ2VzTDZXNUprMUx0Z05v?oc=5" TargetMode="External"/><Relationship Id="rId45" Type="http://schemas.openxmlformats.org/officeDocument/2006/relationships/hyperlink" Target="https://news.google.com/rss/articles/CBMipAFBVV95cUxQNFFiZ25yd1FDSmtLVlo1VEZ5S0dFQU5KNS16NFcycW10cUtWblN6em1Pd19fNGUxbW8zS0NYbml4RWRWRDJRRk1GTDRqZm9pSjVHenl4S2RqTmpVSHFSMlZydFA2aWtGMEVDcTU0QUFMWW9CbnhaM1Qyb1k1Yi1Qa1BvenhJVnJOc3dGc0gwNXgtNUxGR1VjVm5ncVhjdkJDd1FtNg?oc=5" TargetMode="External"/><Relationship Id="rId46" Type="http://schemas.openxmlformats.org/officeDocument/2006/relationships/hyperlink" Target="https://luminor.lv/sites/default/files/docs/finansu_parskati/luminor_bank_annual_report_2025-lv.pdf#page=19" TargetMode="External"/><Relationship Id="rId47" Type="http://schemas.openxmlformats.org/officeDocument/2006/relationships/hyperlink" Target="https://luminor.lv/sites/default/files/docs/finansu_parskati/luminor_bank_annual_report_2025-lv.pdf#page=16" TargetMode="External"/><Relationship Id="rId48" Type="http://schemas.openxmlformats.org/officeDocument/2006/relationships/hyperlink" Target="https://luminor.lv/sites/default/files/docs/finansu_parskati/luminor_bank_annual_report_2025-lv.pdf#page=22" TargetMode="External"/><Relationship Id="rId49" Type="http://schemas.openxmlformats.org/officeDocument/2006/relationships/hyperlink" Target="https://sebgroup.com/sustainability/our-sustainability-strategy/policies" TargetMode="External"/><Relationship Id="rId50" Type="http://schemas.openxmlformats.org/officeDocument/2006/relationships/hyperlink" Target="https://luminor.lv/sites/default/files/docs/finansu_parskati/luminor_bank_annual_report_2025-lv.pdf#page=18" TargetMode="External"/><Relationship Id="rId51" Type="http://schemas.openxmlformats.org/officeDocument/2006/relationships/hyperlink" Target="https://luminor.lv/sites/default/files/docs/finansu_parskati/luminor_bank_annual_report_2025-lv.pdf#page=23" TargetMode="External"/><Relationship Id="rId52" Type="http://schemas.openxmlformats.org/officeDocument/2006/relationships/hyperlink" Target="https://luminor.lv/sites/default/files/docs/finansu_parskati/luminor_bank_annual_report_2025-lv.pdf#page=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