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Rīgas ūdens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A3, stable outlook (affirmed 2026)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- 2026-11-27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Rīgas ūdens 4% green bond 2030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LV0000104487  ·  4,0 % · 2030-06-04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Rygos savivaldybei priklausanti vandens įmonė su Moody's A3 reitingu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I pusm. EBITDA 19,7 mln. EUR (+25 %), grynoji skola / EBITDA 2,6x, nuosavo kapitalo dalis 71 %, skolos sąlygos vykdomos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19,7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25,5 %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89,9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42,2 %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2,6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0,5x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Nuosavo kapitalo dalis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71,0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1,4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Rezultatai gerėja:</w:t>
      </w:r>
      <w:r>
        <w:rPr>
          <w:b w:val="0"/>
        </w:rPr>
        <w:t xml:space="preserve"> I pusm. pajamos 45,4 mln. EUR (+15 %), EBITDA 19,7 mln. EUR (15,7 mln.), grynasis pelnas 4,3 mln. EUR (0,5 mln.); tarifai pakelti nuo 2025-12-01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Investicijos ir skola auga:</w:t>
      </w:r>
      <w:r>
        <w:rPr>
          <w:b w:val="0"/>
        </w:rPr>
        <w:t xml:space="preserve"> investicijos 24,1 mln. EUR per pusmetį, grynoji skola 89,9 mln. EUR, grynoji skola / EBITDA 2,6x (2,1x); 2025–2028 m. investicijų programa – 235 mln. EUR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Skolos sąlygos vykdomos:</w:t>
      </w:r>
      <w:r>
        <w:rPr>
          <w:b w:val="0"/>
        </w:rPr>
        <w:t xml:space="preserve"> DSCR 3,9 (tikslas 2,0), palūkanų padengimas 14,2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Daugiau finansavimo:</w:t>
      </w:r>
      <w:r>
        <w:rPr>
          <w:b w:val="0"/>
        </w:rPr>
        <w:t xml:space="preserve"> patvirtintas naujas prospektas iki 40 mln. EUR kitai obligacijų daliai (planuojama IV ketv.), pasirašyta 50 mln. EUR NIB kredito linija; reguliuotojas nuo 2027 m. padidino kapitalo grąžos normą iki 6,28 %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LV0000104487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Rīgas ūdens 4% green bond 2030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2030-06-04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 Green Bond (EuGB) standard, first tranche of a EUR 60m programme; quarterly coupons; listed 2025-06-05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80,3*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45,4*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14,6 %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19,7*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25,5 %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-18,3*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0,59*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3,8 EURm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Investicijos,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24,1*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65,1 %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73,9*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89,9*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42,2 %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 / EBITDA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2,6x*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0,5x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70,7 %*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72,4 %*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71,0 %*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1,4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Skolos aptarnavimo koeficientas (DSCR)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3,9x*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0,2x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gas-udens_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Paslaugų sutartis su Rygos miestu galioja iki 2029-07-23; tarifus tvirtina Viešųjų paslaugų reguliavimo komisija (vanduo 1,41 EUR/m³, nuotekos 1,26 EUR/m³, valymas 0,40 EUR/m³ be PVM)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2026-03-25 Rygos taryba nusprendė išlaikyti tiesioginę įmonės nuosavybę</w:t>
      </w:r>
      <w:hyperlink r:id="rId20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pajamos 80,3 mln. EUR, EBITDA 31,0 mln. EUR, pelnas 0,6 mln. EUR; 2024 m. nuostolis 18,3 mln. EUR dėl turto perkainojimo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Nuosavas kapitalas 536,3 mln. EUR, turtas 755,3 mln. EUR</w:t>
      </w:r>
      <w:hyperlink r:id="rId15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Investicijų programa 2025–2028 – 235 mln. EUR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 m. viduryje panaudota 30,88 %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 pagal planą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Žaliųjų obligacijų programa iki 60 mln. EUR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Išleista 20 mln. EUR (2025 m.); kita dalis iki 40 mln. EUR planuojama IV ketv. 2026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Vykdoma: 2025 m. emisijos paklausa – 228 %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DSCR ne mažesnis nei 2,0 (2026 m. tikslas)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 – 3,9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4 % žalioji obligacija (ES žaliųjų obligacijų standartas), 20 mln. EUR, kuponai kas ketvirtį, išpirkimas 2030-06-04</w:t>
      </w:r>
      <w:hyperlink r:id="rId21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 Visos lėšos panaudotos ES taksonomiją atitinkantiems projektams (Sustainable Fitch patikra)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Kredito kokybė:</w:t>
      </w:r>
      <w:r>
        <w:rPr>
          <w:b w:val="0"/>
        </w:rPr>
        <w:t xml:space="preserve"> Moody's A3, savivaldybės nuosavybė, reguliuojami tarifai ir didelė nuosavo kapitalo dalis</w:t>
      </w:r>
      <w:hyperlink r:id="rId12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maža rizika; skola auga dėl investicijų, bet rodikliai gerokai viršija sutartines ribas.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Tarifai:</w:t>
      </w:r>
      <w:r>
        <w:rPr>
          <w:b w:val="0"/>
        </w:rPr>
        <w:t xml:space="preserve"> pajamos +14,7 % daugiausia dėl naujų vandentvarkos tarifų nuo 2025-12-01</w:t>
      </w:r>
      <w:hyperlink r:id="rId15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 Nuotekų išvalyta 8,9 % mažiau dėl mažesnio kritulių kiekio, parduoto vandens +0,9 %</w:t>
      </w:r>
      <w:hyperlink r:id="rId22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Investicijos ir skola:</w:t>
      </w:r>
      <w:r>
        <w:rPr>
          <w:b w:val="0"/>
        </w:rPr>
        <w:t xml:space="preserve"> rekordinės 24,1 mln. EUR investicijos finansuotos skolintu kapitalu, todėl grynoji skola / EBITDA pakilo iki 2,6 karto</w:t>
      </w:r>
      <w:hyperlink r:id="rId15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 Kaštams įtakos gali turėti infliacija ir energijos kainos; Latvijos bankas 2026 m. infliaciją prognozuoja 3,6 %</w:t>
      </w:r>
      <w:hyperlink r:id="rId23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Kita emisija:</w:t>
      </w:r>
      <w:r>
        <w:rPr>
          <w:b w:val="0"/>
        </w:rPr>
        <w:t xml:space="preserve"> iki 40 mln. EUR žaliųjų obligacijų planuojama 2026 m. IV ketv., įvertinus rinkos sąlygas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3,43 %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LV), 2026-07-25 – 2026-10-23: 2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4">
              <w:r>
                <w:rPr>
                  <w:color w:val="1B2430"/>
                  <w:sz w:val="18"/>
                </w:rPr>
                <w:t xml:space="preserve">Svarīgs paziņojums no "Rīgas ūdens"</w:t>
              </w:r>
            </w:hyperlink>
            <w:r>
              <w:rPr>
                <w:b w:val="0"/>
                <w:color w:val="667085"/>
                <w:sz w:val="15"/>
              </w:rPr>
              <w:t xml:space="preserve">   NRA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5">
              <w:r>
                <w:rPr>
                  <w:color w:val="1B2430"/>
                  <w:sz w:val="18"/>
                </w:rPr>
                <w:t xml:space="preserve">"Rīgas ūdens" veiks vērienīgus skalošanas darbus: kurās apkaimēs jārēķinās ar ūdens duļķainību un pārtraukumiem</w:t>
              </w:r>
            </w:hyperlink>
            <w:r>
              <w:rPr>
                <w:b w:val="0"/>
                <w:color w:val="667085"/>
                <w:sz w:val="15"/>
              </w:rPr>
              <w:t xml:space="preserve">   1188.lv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Vandens tiekimas ir nuotekų valymas – veiklos išskirtuose sektoriuose nėra</w:t>
            </w:r>
            <w:hyperlink r:id="rId20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ir aplinkosaugos baudų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Valymo įrenginių perkrova 0,34 % (riba 2 %)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Dėl kvapų Vārnukrogs rajone 2025 m. gruodį uždengta dumblo saugykla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2026-07-25 – 2026-10-23: 2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Žalioji obligacija pagal ES standartą, lėšos – nuotekų valymui (94 %) ir saulės elektrinėms (5 %)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14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PFAS valymo bandomasis projektas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100 % obligacijos lėšų – ES taksonomiją atitinkantiems projektams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Įmonė pati nurodo poveikio sritis: šiltnamio dujų nuotėkis, valymas per liūtis, mikroteršalai, vandens nuostoliai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 xml:space="preserve"> ir aplinkosaugos politika (klimatas, gamta, vanduo)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žaliųjų obligacijų standartas ir išorinė patikra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Nuotekų valymo kokybė atitinka ribas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Atskleidžiami reikšmingi poveikiai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reguliuojama savivaldybės įmonė su žaliųjų investicijų programa.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Valymo įrenginių perkrova 0,34 %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100 % obligacijos lėšų – taksonomiją atitinkantiems projektams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Iki 2030 m. renovuoti 90 km vandentiekio ir 55 km kanalizacijos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Žalioji obligacija pagal ES standartą, investicijos į nuotekų valymą.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Rīgas ūdens - Interim report 6M 2026 (unaudited), p. 17-18, 34,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Rīgas ūdens - Interim report 6M 2026 (unaudited), p. 18-19,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Rīgas ūdens - Interim report 6M 2026 (unaudited), p. 12,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43,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Rīgas ūdens - Annual report 2025 (audited), p. 28,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Rīgas ūdens - Annual report 2025 (audited),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5">
        <w:r>
          <w:rPr>
            <w:color w:val="2A78D6"/>
            <w:sz w:val="17"/>
          </w:rPr>
          <w:t xml:space="preserve">Rīgas ūdens - Interim report 6M 2026 (unaudited),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4">
        <w:r>
          <w:rPr>
            <w:color w:val="2A78D6"/>
            <w:sz w:val="17"/>
          </w:rPr>
          <w:t xml:space="preserve">Rīgas ūdens - Interim report 6M 2026 (unaudited),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Rīgas ūdens - Interim report 6M 2026 (unaudited), p. 10,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Rīgas ūdens - Interim report 6M 2026 (unaudited), p.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6">
        <w:r>
          <w:rPr>
            <w:color w:val="2A78D6"/>
            <w:sz w:val="17"/>
          </w:rPr>
          <w:t xml:space="preserve">Rīgas ūdens - Interim report 6M 2026 (unaudited), p. 12,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1">
        <w:r>
          <w:rPr>
            <w:color w:val="2A78D6"/>
            <w:sz w:val="17"/>
          </w:rPr>
          <w:t xml:space="preserve">Rīgas ūdens - Annual report 2025 (audited), p. 20,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1">
        <w:r>
          <w:rPr>
            <w:color w:val="2A78D6"/>
            <w:sz w:val="17"/>
          </w:rPr>
          <w:t xml:space="preserve">Rīgas ūdens - Annual report 2025 (audited), p. 20-21,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2">
        <w:r>
          <w:rPr>
            <w:color w:val="2A78D6"/>
            <w:sz w:val="17"/>
          </w:rPr>
          <w:t xml:space="preserve">Rīgas ūdens - Interim report 6M 2026 (unaudited), p. 15,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5">
        <w:r>
          <w:rPr>
            <w:color w:val="2A78D6"/>
            <w:sz w:val="17"/>
          </w:rPr>
          <w:t xml:space="preserve">Rīgas ūdens - Interim report 6M 2026 (unaudited), p. 18,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3">
        <w:r>
          <w:rPr>
            <w:color w:val="2A78D6"/>
            <w:sz w:val="17"/>
          </w:rPr>
          <w:t xml:space="preserve">Rīgas ūdens - Interim report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2">
        <w:r>
          <w:rPr>
            <w:color w:val="2A78D6"/>
            <w:sz w:val="17"/>
          </w:rPr>
          <w:t xml:space="preserve">Rīgas ūdens - Interim report 6M 2026 (unaudited), p. 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6">
        <w:r>
          <w:rPr>
            <w:color w:val="2A78D6"/>
            <w:sz w:val="17"/>
          </w:rPr>
          <w:t xml:space="preserve">Rīgas ūdens - Annual report 2025 (audited),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7">
        <w:r>
          <w:rPr>
            <w:color w:val="2A78D6"/>
            <w:sz w:val="17"/>
          </w:rPr>
          <w:t xml:space="preserve">Rīgas ūdens - Annual report 2025 (audited), p. 48,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28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29">
        <w:r>
          <w:rPr>
            <w:color w:val="2A78D6"/>
            <w:sz w:val="17"/>
          </w:rPr>
          <w:t xml:space="preserve">SEB Environmental Policy on Climate, Nature and Water (2026),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0">
        <w:r>
          <w:rPr>
            <w:color w:val="2A78D6"/>
            <w:sz w:val="17"/>
          </w:rPr>
          <w:t xml:space="preserve">Rīgas ūdens - Interim report 6M 2026 (unaudited), p. 32,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Rīgas ūdens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Rīgas ūdens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Rīgas ūdens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h2o/2026_q2_en.pdf#page=5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nasdaqbaltic.com/market/upload/reports/h2o/2026_q2_en.pdf#page=17" TargetMode="External"/><Relationship Id="rId15" Type="http://schemas.openxmlformats.org/officeDocument/2006/relationships/hyperlink" Target="https://nasdaqbaltic.com/market/upload/reports/h2o/2026_q2_en.pdf#page=18" TargetMode="External"/><Relationship Id="rId16" Type="http://schemas.openxmlformats.org/officeDocument/2006/relationships/hyperlink" Target="https://nasdaqbaltic.com/market/upload/reports/h2o/2026_q2_en.pdf#page=12" TargetMode="External"/><Relationship Id="rId17" Type="http://schemas.openxmlformats.org/officeDocument/2006/relationships/hyperlink" Target="https://nasdaqbaltic.com/market/upload/reports/h2o/2025_ar_en.pdf#page=28" TargetMode="External"/><Relationship Id="rId18" Type="http://schemas.openxmlformats.org/officeDocument/2006/relationships/hyperlink" Target="https://nasdaqbaltic.com/market/upload/reports/h2o/2025_ar_en.pdf#page=17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nasdaqbaltic.com/market/upload/reports/h2o/2026_q2_en.pdf#page=10" TargetMode="External"/><Relationship Id="rId21" Type="http://schemas.openxmlformats.org/officeDocument/2006/relationships/hyperlink" Target="https://nasdaqbaltic.com/market/upload/reports/h2o/2025_ar_en.pdf#page=20" TargetMode="External"/><Relationship Id="rId22" Type="http://schemas.openxmlformats.org/officeDocument/2006/relationships/hyperlink" Target="https://nasdaqbaltic.com/market/upload/reports/h2o/2026_q2_en.pdf#page=15" TargetMode="External"/><Relationship Id="rId23" Type="http://schemas.openxmlformats.org/officeDocument/2006/relationships/hyperlink" Target="https://nasdaqbaltic.com/market/upload/reports/h2o/2026_q2_en.pdf#page=6" TargetMode="External"/><Relationship Id="rId24" Type="http://schemas.openxmlformats.org/officeDocument/2006/relationships/hyperlink" Target="https://news.google.com/rss/articles/CBMiekFVX3lxTE44RUJ1LWNpWmZYYl92d2ZrZU0xWXZteFhvUGROdHFaNjJmcXJCY1FhTjB4Q2xHN2c5d1laSVhvd24wem55dHlqZDNwQ2Q3TEZvYUlHTk93TDV1YzEzcy14empiR2kyM3ByVmZlVmNma2FNVDg0amJoa01B?oc=5" TargetMode="External"/><Relationship Id="rId25" Type="http://schemas.openxmlformats.org/officeDocument/2006/relationships/hyperlink" Target="https://news.google.com/rss/articles/CBMi1wFBVV95cUxQT0NfOUNJa2R3NW9zUUZLTkJuTm5KdXBSZHl0am1LcTRqVHBrV2JiMmQ1WlhJMFNPMkdFSWFpaHJLTXJwTElfaXJwVGpkc1p3ejBMV0RsUm50cXVidzI0SVZNbGZnWWY1SEZQNlVRdVh1ajEzb1Q0LUlzdW9RTkVqVmFMUXlNT0dWNWt3TTJOakloaVFLMmhkWW9VLWUxSlE3U19XZHpEMXVmOXZ2RE90Tm44dlhGaE9qbHJ2M2RYT09walUwUnRHOElvcVBjWXZ0eXhOLWw5bw?oc=5" TargetMode="External"/><Relationship Id="rId26" Type="http://schemas.openxmlformats.org/officeDocument/2006/relationships/hyperlink" Target="https://nasdaqbaltic.com/market/upload/reports/h2o/2025_ar_en.pdf#page=5" TargetMode="External"/><Relationship Id="rId27" Type="http://schemas.openxmlformats.org/officeDocument/2006/relationships/hyperlink" Target="https://nasdaqbaltic.com/market/upload/reports/h2o/2025_ar_en.pdf#page=48" TargetMode="External"/><Relationship Id="rId28" Type="http://schemas.openxmlformats.org/officeDocument/2006/relationships/hyperlink" Target="https://sebgroup.com/sustainability/our-sustainability-strategy/policies" TargetMode="External"/><Relationship Id="rId29" Type="http://schemas.openxmlformats.org/officeDocument/2006/relationships/hyperlink" Target="https://webapp.sebgroup.com/mb/mblib.nsf/dld/CBAA255D7EC51026C1257C28002FB11A?opendocument" TargetMode="External"/><Relationship Id="rId30" Type="http://schemas.openxmlformats.org/officeDocument/2006/relationships/hyperlink" Target="https://nasdaqbaltic.com/market/upload/reports/h2o/2026_q2_en.pdf#page=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