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8,75 %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4,853 %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4,597 %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10,75 %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3,739 %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tvarkinga, tačiau pelnas mažėja.</w:t>
            </w:r>
            <w:r>
              <w:rPr>
                <w:b w:val="0"/>
                <w:color w:val="1B2430"/>
                <w:sz w:val="21"/>
              </w:rPr>
              <w:t xml:space="preserve"> I pusm. pelnas 23,2 mln. EUR, prieš metus 31,9 mln.; ROE 7,8 %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Kapitalas (21,5 %) ir likvidumas (LCR 179 %) – su atsarga, o Moody's 2026 m. balandį reitingą pagerino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mažesnis:</w:t>
      </w:r>
      <w:r>
        <w:rPr>
          <w:b w:val="0"/>
        </w:rPr>
        <w:t xml:space="preserve"> I pusm. grynasis pelnas 23,2 mln. EUR (prieš metus 31,9 mln.), ROE 7,8 % (11,1 %). Palūkanų pajamos išaugo 6 % iki 72,5 mln. EUR, bet sąnaudos augo greičiau: sąnaudų / pajamų santykis 56,8 %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Paskolų kokybė gera:</w:t>
      </w:r>
      <w:r>
        <w:rPr>
          <w:b w:val="0"/>
        </w:rPr>
        <w:t xml:space="preserve"> rizikos kaina 0,01 % (0,24 %), trečios stadijos paskolos 2,4 % (mūsų skaičiavimas)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2026-04-21 Moody's indėlių reitingą pakėlė iki A3, pirmaeilės skolos reitingas Baa1, perspektyva – teigiama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akcininkai ir vadovybė:</w:t>
      </w:r>
      <w:r>
        <w:rPr>
          <w:b w:val="0"/>
        </w:rPr>
        <w:t xml:space="preserve"> Tesonet Global ketina padidinti dalį iki 31,68 % ir siekti kontrolės (ECB leidimas, iki 2027 m. I ketv.); laikinai einančiu vadovo pareigas paskirtas Tomas Varenbergas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4,853 %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4,597 %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3,739 %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24,38 %*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23,59 %*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augo 8 % per metus ir viršijo 3,9 mlrd. EUR; indėliai – 4 061 mln. EUR (+15 %)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Grynoji palūkanų marža 2,4 % (prieš metus 2,9 %) – mažėja dėl žemesnių palūkanų normų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Vyksta pagrindinės bankinės sistemos keitimas; 2025 m. bankas pakeitė pavadinimą į „Artea“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60,7 mln. EUR (2024 m. – 78,8 mln.), ROE 10,4 % (14,0 %); grynosios palūkanų pajamos 138,3 mln. EUR (−14 %)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 kapitalo rodiklis 21,5 % (2025 m. pab. 21,15 %), MREL 23,59 % TREA, LCR 179 %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0,047 EUR akcijai (30,4 mln. EUR), už 2024 m. – 0,061 EUR; 2026 m. sausį baigtas akcijų supirkimas (2,6 mln. EUR)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2026–2028: tapti geriausiu banku Lietuvoje iki 2029 m.; ilgalaikis ROE &gt;17 %, bendra akcininkų grąža &gt;20 %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7,8 %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Kol kas toli nuo tikslo: mažėja palūkanų marža, didėja sąnaudos (sistemos keitimas, prekės ženklas)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ne mažiau kaip 50 % praėjusių metų pelno; už 2025 m. siūlyta iki 70 % (50 % dividendais, iki 20 % supirkimui)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52,2 % pelno dividendais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– apie 15 % verslo paskolų portfelio augimas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paskolos +8 % per metus (I pusm.)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verslo paskolų augimas atskirai nenurodytas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trys pirmaeilės privilegijuotos (senior preferred) obligacijos po 300 mln. EUR – 4,85 % 2028-12-05, 3,74 % 2029-07-10 ir 4,60 % 2030-06-25; subordinuota 10,75 % 2033 (50 mln. EUR); AT1 8,75 % (50 mln. EUR, emitento lentelėje data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pirmaeilei skolai Baa1, perspektyva teigiama – tai teigiama žinia visoms turimoms obligacijoms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 ir AT1:</w:t>
      </w:r>
      <w:r>
        <w:rPr>
          <w:b w:val="0"/>
        </w:rPr>
        <w:t xml:space="preserve"> bendras kapitalas 21,5 % ir MREL 23,59 % – su atsarga; 2026 m. I pusm. naujų obligacijų neišleista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Kontrolės pasikeitimas:</w:t>
      </w:r>
      <w:r>
        <w:rPr>
          <w:b w:val="0"/>
        </w:rPr>
        <w:t xml:space="preserve"> jei Tesonet įgis kontrolę (reikia ECB leidimo), keisis strateginis savininkas; obligacijų sąlygos dėl kontrolės pasikeitimo viešai skelbtuose šaltiniuose nerastos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mažėja, tačiau kapitalas, likvidumas ir paskolų kokybė – geri, o reitingas pagerėjo. 9M rezultatai bus paskelbti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Pensijų reforma:</w:t>
      </w:r>
      <w:r>
        <w:rPr>
          <w:b w:val="0"/>
        </w:rPr>
        <w:t xml:space="preserve"> grynasis pelnas 23,2 mln. EUR (–27 %) dėl vienkartinio prestižo nuvertėjimo, kilusio iš pensijų reformos; dalis atsiimtų pensijų lėšų panaudota vartojimo paskoloms grąžinti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Pagrindinė veikla auga:</w:t>
      </w:r>
      <w:r>
        <w:rPr>
          <w:b w:val="0"/>
        </w:rPr>
        <w:t xml:space="preserve"> grynosios palūkanų pajamos +6 % iki 72,5 mln. EUR, paskolos +8 % (&gt;3,9 mlrd. EUR), indėliai +15 %; atidėjiniai tik 0,3 mln. EUR (rizikos kaina 0,01 %)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didžiausią neapibrėžtumą bankas mato geopolitikos poveikyje platesnei ekonomikai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2026-07-25 – 2026-10-23: 5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4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Atsakingo investavimo reglamentas skelbiamas viešai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ir 2026 m. II ketv. bankui ir grupės įmonėms sankcijų netaikyta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lietuvių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Daugiausia naujienų – apie Tesonet akcijų įsigijimą ir vadovų pasikeitimus.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5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finansavimo plėtra – viena 2026 m. prioritetų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Planuojamas „Artea Retrofit Fund 3“ (625 mln. EUR) pastatų renovacijai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kartu su ES siekti klimato neutralumo iki 2050 m. pagal Paryžiaus susitarimą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procedūros, pranešėjų kanalas, tiekėjų elgesio kodeksas, atsakingo investavimo reglamentas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Sankcijų bankui netaikyta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ir tarpiniai klimato tikslai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 ir paskolų kokybė geri,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darbuotojų – 77,8 %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neutralumo tikslas 2050 m.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Bloomberg ESG Data ir ESG Coverage indeksų narys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Pagrindinės ESG procedūros yra; klimato duomenų skelbiama nedaug.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6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anctionssearch.ofac.treas.gov/" TargetMode="External"/><Relationship Id="rId34" Type="http://schemas.openxmlformats.org/officeDocument/2006/relationships/hyperlink" Target="https://www.sanctionsmap.eu/#/main" TargetMode="External"/><Relationship Id="rId35" Type="http://schemas.openxmlformats.org/officeDocument/2006/relationships/hyperlink" Target="https://sebgroup.com/sustainability/our-sustainability-strategy/policies" TargetMode="External"/><Relationship Id="rId36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