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 finance, point-of-sale and car financing in the Baltics, Poland, Czechia; deposits in EU)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5.5%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8.3m (+2%), ROE 9.6%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Capital is above requirements: CET1 13.15% (requirement 9.85%), total capital 18.38% (14.66%)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18.38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 and rental portfolio EUR 1.32bn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Q2 EUR 28.4m (−23%); EUR 146m in 2025 (+65%)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Share of private loans &gt;90 days past due 2.4% (own calculation)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net profit EUR 19.2m, ROE 12.3%, cost/income 54.4%, cost of risk 1.59%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0.40 per share (EUR 4.8m)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Agreed July 2026; licensing under way, launch Q1 2027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Q2 cost of risk 1.54%, within the target range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Pressure on margins:</w:t>
      </w:r>
      <w:r>
        <w:rPr>
          <w:b w:val="0"/>
        </w:rPr>
        <w:t xml:space="preserve"> portfolio yield 10.55% (11.24% a year ago) due to repricing of floating-rate loans and early repayments in Poland; funding cost fell to 3.64% (4.06%)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Record volumes:</w:t>
      </w:r>
      <w:r>
        <w:rPr>
          <w:b w:val="0"/>
        </w:rPr>
        <w:t xml:space="preserve"> originations EUR 221m (+13%), net income EUR 22.0m (+6%); impairments 1.54%, within target as macro conditions remain stable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signs of improving margins; the Greek joint venture with Eurobank is expected to launch in Q1 2027, subject to approvals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on 2026-09-28 Inbank published a notice of early redemption of bonds (with record and redemption dates); the headline does not name the issue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Poland:</w:t>
      </w:r>
      <w:r>
        <w:rPr>
          <w:b w:val="0"/>
        </w:rPr>
        <w:t xml:space="preserve"> on 2026-09-30 Inbank published its position on a decision of the Polish consumer protection authority (UOKiK)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2026-07-25 – 2026-10-23: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Consumer and purchase financing and car leasing: 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precepts: in 2023 to Inbank AS to remedy governance, compliance and risk management deficiencies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October 2025 to Inbank Finance to fix consumer creditworthiness rules by mid-December 2025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 imposed.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apart from the supervisory precepts above and Inbank's 2026-09-30 statement on a decision of the Polish consumer protection authority (UOKiK)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4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(solar, EVs and similar) EUR 146m in 2025, +65%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products contribute to the Paris goals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separate net-zero target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significant yellow flags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Supervisory precepts without fines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sectors, growing green financing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 and financed emissions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 with a capital buffer.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146m in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EUR 28.4m in Q2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growing; there were supervisory precepts on governance and credit assessment (no fines).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29" Type="http://schemas.openxmlformats.org/officeDocument/2006/relationships/hyperlink" Target="https://fi.ee/en/news/finantsinspektsioon-issued-precept-inbank" TargetMode="External"/><Relationship Id="rId30" Type="http://schemas.openxmlformats.org/officeDocument/2006/relationships/hyperlink" Target="https://fi.ee/en/news/finantsinspektsioon-issued-precept-inbank-finance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