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24" w:color="12355B" w:space="0"/>
        </w:pBdr>
        <w:spacing w:before="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030"/>
        <w:gridCol w:w="2608"/>
      </w:tblGrid>
      <w:tr>
        <w:tc>
          <w:tcPr>
            <w:tcW w:type="dxa" w:w="7030"/>
          </w:tcPr>
          <w:p>
            <w:pPr>
              <w:spacing w:before="0" w:after="0"/>
            </w:pPr>
            <w:r>
              <w:rPr>
                <w:b/>
                <w:caps/>
                <w:color w:val="2A78D6"/>
                <w:sz w:val="16"/>
              </w:rPr>
              <w:t>Issuer review · 9M2026</w:t>
            </w:r>
          </w:p>
          <w:p>
            <w:pPr>
              <w:spacing w:before="40" w:after="0"/>
            </w:pPr>
            <w:r>
              <w:rPr>
                <w:b/>
                <w:color w:val="12355B"/>
                <w:sz w:val="52"/>
              </w:rPr>
              <w:t>LHV Group</w:t>
            </w:r>
          </w:p>
          <w:p>
            <w:pPr>
              <w:spacing w:before="40" w:after="0"/>
            </w:pPr>
            <w:r>
              <w:rPr>
                <w:b w:val="0"/>
                <w:color w:val="667085"/>
                <w:sz w:val="18"/>
              </w:rPr>
              <w:t>Estonia · Bank holding (LHV Pank Estonia, LHV Bank UK, asset management, insurance)</w:t>
            </w:r>
          </w:p>
        </w:tc>
        <w:tc>
          <w:tcPr>
            <w:tcW w:type="dxa" w:w="2608"/>
          </w:tcPr>
          <w:p>
            <w:pPr>
              <w:spacing w:before="440" w:after="0"/>
              <w:jc w:val="right"/>
            </w:pPr>
            <w:r>
              <w:rPr>
                <w:b/>
                <w:color w:val="1B7F3B"/>
                <w:sz w:val="18"/>
                <w:shd w:val="clear" w:color="auto" w:fill="E3F3E8"/>
              </w:rPr>
              <w:t xml:space="preserve">  ●  OK  </w:t>
            </w:r>
          </w:p>
        </w:tc>
      </w:tr>
    </w:tbl>
    <w:p>
      <w:pPr>
        <w:pBdr>
          <w:top w:val="single" w:sz="4" w:color="D5DCE4" w:space="0"/>
        </w:pBdr>
        <w:spacing w:before="12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 w:color="12355B" w:space="0"/>
              <w:left w:val="nil"/>
              <w:bottom w:val="nil"/>
              <w:right w:val="nil"/>
            </w:tcBorders>
            <w:shd w:val="clear" w:color="auto" w:fill="F4F6F9"/>
          </w:tcPr>
          <w:p>
            <w:pPr>
              <w:spacing w:before="0" w:after="40"/>
            </w:pPr>
            <w:r>
              <w:rPr>
                <w:b/>
                <w:color w:val="12355B"/>
                <w:sz w:val="18"/>
              </w:rPr>
              <w:t>Key facts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Issuer rating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Moody's: LHV Group senior unsecured Baa2 (positive outlook); LHV Pank deposits A3 (positive), updated 2025-09-01</w:t>
            </w:r>
            <w:hyperlink r:id="rId12">
              <w:r>
                <w:rPr>
                  <w:color w:val="2A78D6"/>
                  <w:vertAlign w:val="superscript"/>
                  <w:sz w:val="15"/>
                </w:rPr>
                <w:t xml:space="preserve">1</w:t>
              </w:r>
            </w:hyperlink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Analysis date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2026-10-22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Next report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October 2026 monthly results - 2026-11-17</w:t>
            </w:r>
            <w:hyperlink r:id="rId13">
              <w:r>
                <w:rPr>
                  <w:color w:val="2A78D6"/>
                  <w:vertAlign w:val="superscript"/>
                  <w:sz w:val="15"/>
                </w:rPr>
                <w:t xml:space="preserve">2</w:t>
              </w:r>
            </w:hyperlink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Country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Estonia</w:t>
            </w:r>
          </w:p>
        </w:tc>
        <w:tc>
          <w:tcPr>
            <w:tcW w:type="dxa" w:w="4819"/>
            <w:tcBorders>
              <w:top w:val="single" w:sz="12" w:color="12355B" w:space="0"/>
              <w:left w:val="nil"/>
              <w:bottom w:val="nil"/>
              <w:right w:val="nil"/>
            </w:tcBorders>
            <w:shd w:val="clear" w:color="auto" w:fill="F4F6F9"/>
          </w:tcPr>
          <w:p>
            <w:pPr>
              <w:spacing w:before="0" w:after="40"/>
            </w:pPr>
            <w:r>
              <w:rPr>
                <w:b/>
                <w:color w:val="12355B"/>
                <w:sz w:val="18"/>
              </w:rPr>
              <w:t>Securities held</w:t>
            </w:r>
          </w:p>
          <w:p>
            <w:pPr>
              <w:spacing w:before="80" w:after="0"/>
            </w:pPr>
            <w:r>
              <w:rPr>
                <w:b/>
                <w:color w:val="1B2430"/>
                <w:sz w:val="17"/>
              </w:rPr>
              <w:t>LHV Group 5.375% senior notes 2028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XS2822574245  ·  5.375% · 2028-05-24</w:t>
            </w:r>
          </w:p>
          <w:p>
            <w:pPr>
              <w:spacing w:before="0" w:after="0"/>
            </w:pPr>
            <w:r>
              <w:rPr>
                <w:b w:val="0"/>
                <w:color w:val="12355B"/>
                <w:sz w:val="15"/>
              </w:rPr>
              <w:t>Moody's Baa2</w:t>
            </w:r>
          </w:p>
          <w:p>
            <w:pPr>
              <w:spacing w:before="80" w:after="0"/>
            </w:pPr>
            <w:r>
              <w:rPr>
                <w:b/>
                <w:color w:val="1B2430"/>
                <w:sz w:val="17"/>
              </w:rPr>
              <w:t>LHV Group 5.5% Tier 2 2035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XS3153067288  ·  5.5% · 2035-09-16</w:t>
            </w:r>
          </w:p>
          <w:p>
            <w:pPr>
              <w:spacing w:before="0" w:after="0"/>
            </w:pPr>
            <w:r>
              <w:rPr>
                <w:b w:val="0"/>
                <w:color w:val="12355B"/>
                <w:sz w:val="15"/>
              </w:rPr>
              <w:t>no separate rating found</w:t>
            </w:r>
          </w:p>
          <w:p>
            <w:pPr>
              <w:spacing w:before="80" w:after="0"/>
            </w:pPr>
            <w:r>
              <w:rPr>
                <w:b/>
                <w:color w:val="1B2430"/>
                <w:sz w:val="17"/>
              </w:rPr>
              <w:t>LHV Group 6.0% Tier 2 2034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EE3300004993  ·  6.0% · 2034-11-15</w:t>
            </w:r>
          </w:p>
          <w:p>
            <w:pPr>
              <w:spacing w:before="0" w:after="0"/>
            </w:pPr>
            <w:r>
              <w:rPr>
                <w:b w:val="0"/>
                <w:color w:val="12355B"/>
                <w:sz w:val="15"/>
              </w:rPr>
              <w:t>no separate rating found</w:t>
            </w:r>
          </w:p>
          <w:p>
            <w:pPr>
              <w:spacing w:before="80" w:after="0"/>
            </w:pPr>
            <w:r>
              <w:rPr>
                <w:b/>
                <w:color w:val="1B2430"/>
                <w:sz w:val="17"/>
              </w:rPr>
              <w:t>LHV Group senior FRN 2027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XS2693753704  ·  2027-10-03</w:t>
            </w:r>
          </w:p>
          <w:p>
            <w:pPr>
              <w:spacing w:before="0" w:after="0"/>
            </w:pPr>
            <w:r>
              <w:rPr>
                <w:b w:val="0"/>
                <w:color w:val="12355B"/>
                <w:sz w:val="15"/>
              </w:rPr>
              <w:t>Moody's Baa2</w:t>
            </w:r>
          </w:p>
          <w:p>
            <w:pPr>
              <w:spacing w:before="80" w:after="0"/>
            </w:pPr>
            <w:r>
              <w:rPr>
                <w:b/>
                <w:color w:val="1B2430"/>
                <w:sz w:val="17"/>
              </w:rPr>
              <w:t>LHV Group 9.5% AT1 perpetual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XS3042781024  ·  9.5% · perpetual</w:t>
            </w:r>
          </w:p>
          <w:p>
            <w:pPr>
              <w:spacing w:before="0" w:after="0"/>
            </w:pPr>
            <w:r>
              <w:rPr>
                <w:b w:val="0"/>
                <w:color w:val="12355B"/>
                <w:sz w:val="15"/>
              </w:rPr>
              <w:t>no separate rating found</w:t>
            </w:r>
          </w:p>
          <w:p>
            <w:pPr>
              <w:spacing w:before="80" w:after="0"/>
            </w:pPr>
            <w:r>
              <w:rPr>
                <w:b/>
                <w:color w:val="1B2430"/>
                <w:sz w:val="17"/>
              </w:rPr>
              <w:t>LHV Group 4.125% senior notes 2029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XS3090105829  ·  4.125% · 2029-06-18</w:t>
            </w:r>
          </w:p>
          <w:p>
            <w:pPr>
              <w:spacing w:before="0" w:after="0"/>
            </w:pPr>
            <w:r>
              <w:rPr>
                <w:b w:val="0"/>
                <w:color w:val="12355B"/>
                <w:sz w:val="15"/>
              </w:rPr>
              <w:t>Moody's Baa2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80" w:type="dxa"/>
          <w:left w:w="260" w:type="dxa"/>
          <w:bottom w:w="200" w:type="dxa"/>
          <w:right w:w="26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single" w:sz="24" w:color="1B7F3B" w:space="0"/>
              <w:bottom w:val="nil"/>
              <w:right w:val="nil"/>
            </w:tcBorders>
            <w:shd w:val="clear" w:color="auto" w:fill="E3F3E8"/>
          </w:tcPr>
          <w:p>
            <w:pPr>
              <w:spacing w:before="0" w:after="0" w:line="276" w:lineRule="auto"/>
            </w:pPr>
            <w:r>
              <w:rPr>
                <w:b/>
                <w:color w:val="1B2430"/>
                <w:sz w:val="21"/>
              </w:rPr>
              <w:t>Position OK.</w:t>
            </w:r>
            <w:r>
              <w:rPr>
                <w:b w:val="0"/>
                <w:color w:val="1B2430"/>
                <w:sz w:val="21"/>
              </w:rPr>
              <w:t xml:space="preserve"> Q3 profit was a record EUR 37.5m (EUR 26.3m a year ago), and the bank says it will meet its financial plan targets</w:t>
            </w:r>
            <w:hyperlink r:id="rId14">
              <w:r>
                <w:rPr>
                  <w:color w:val="2A78D6"/>
                  <w:vertAlign w:val="superscript"/>
                  <w:sz w:val="17"/>
                </w:rPr>
                <w:t xml:space="preserve">3</w:t>
              </w:r>
            </w:hyperlink>
            <w:r>
              <w:rPr>
                <w:b w:val="0"/>
                <w:color w:val="1B2430"/>
                <w:sz w:val="21"/>
              </w:rPr>
              <w:t>. The capital buffer has narrowed: total capital is 20.25% against an internal target of 20.0%</w:t>
            </w:r>
            <w:hyperlink r:id="rId15">
              <w:r>
                <w:rPr>
                  <w:color w:val="2A78D6"/>
                  <w:vertAlign w:val="superscript"/>
                  <w:sz w:val="17"/>
                </w:rPr>
                <w:t xml:space="preserve">4</w:t>
              </w:r>
            </w:hyperlink>
            <w:r>
              <w:rPr>
                <w:b w:val="0"/>
                <w:color w:val="1B2430"/>
                <w:sz w:val="21"/>
              </w:rPr>
              <w:t>. This matters most for the Tier 2 and AT1 bonds held.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50" w:type="dxa"/>
          <w:left w:w="170" w:type="dxa"/>
          <w:bottom w:w="150" w:type="dxa"/>
          <w:right w:w="100" w:type="dxa"/>
        </w:tblCellMar>
        <w:tblLook w:firstColumn="1" w:firstRow="1" w:lastColumn="0" w:lastRow="0" w:noHBand="0" w:noVBand="1" w:val="04A0"/>
      </w:tblPr>
      <w:tblGrid>
        <w:gridCol w:w="2260"/>
        <w:gridCol w:w="198"/>
        <w:gridCol w:w="2260"/>
        <w:gridCol w:w="198"/>
        <w:gridCol w:w="2260"/>
        <w:gridCol w:w="198"/>
        <w:gridCol w:w="2260"/>
      </w:tblGrid>
      <w:tr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Net profit</w:t>
            </w:r>
            <w:r>
              <w:rPr>
                <w:b w:val="0"/>
                <w:color w:val="667085"/>
                <w:sz w:val="14"/>
              </w:rPr>
              <w:t xml:space="preserve">  ·  9M2026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81.91</w:t>
            </w:r>
            <w:r>
              <w:rPr>
                <w:b w:val="0"/>
                <w:color w:val="667085"/>
                <w:sz w:val="18"/>
              </w:rPr>
              <w:t xml:space="preserve"> EUR m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▼ 5.0 % vs 9M2025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ROE</w:t>
            </w:r>
            <w:r>
              <w:rPr>
                <w:b w:val="0"/>
                <w:color w:val="667085"/>
                <w:sz w:val="14"/>
              </w:rPr>
              <w:t xml:space="preserve">  ·  9M2026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14.0</w:t>
            </w:r>
            <w:r>
              <w:rPr>
                <w:b w:val="0"/>
                <w:color w:val="667085"/>
                <w:sz w:val="18"/>
              </w:rPr>
              <w:t xml:space="preserve"> %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▼ 2.1 p. p. vs 9M2025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CET1 ratio</w:t>
            </w:r>
            <w:r>
              <w:rPr>
                <w:b w:val="0"/>
                <w:color w:val="667085"/>
                <w:sz w:val="14"/>
              </w:rPr>
              <w:t xml:space="preserve">  ·  9M2026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15.28</w:t>
            </w:r>
            <w:r>
              <w:rPr>
                <w:b w:val="0"/>
                <w:color w:val="667085"/>
                <w:sz w:val="18"/>
              </w:rPr>
              <w:t xml:space="preserve"> %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▼ 1.76 p. p. vs FY2025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Total capital ratio</w:t>
            </w:r>
            <w:r>
              <w:rPr>
                <w:b w:val="0"/>
                <w:color w:val="667085"/>
                <w:sz w:val="14"/>
              </w:rPr>
              <w:t xml:space="preserve">  ·  9M2026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20.25</w:t>
            </w:r>
            <w:r>
              <w:rPr>
                <w:b w:val="0"/>
                <w:color w:val="667085"/>
                <w:sz w:val="18"/>
              </w:rPr>
              <w:t xml:space="preserve"> %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▼ 3.05 p. p. vs 9M2025</w:t>
            </w:r>
          </w:p>
        </w:tc>
      </w:tr>
    </w:tbl>
    <w:p>
      <w:pPr>
        <w:spacing w:before="0" w:after="40"/>
      </w:pPr>
    </w:p>
    <w:p>
      <w:pPr>
        <w:keepNext/>
        <w:spacing w:before="200" w:after="100"/>
      </w:pPr>
      <w:r>
        <w:rPr>
          <w:b/>
          <w:color w:val="12355B"/>
          <w:sz w:val="26"/>
        </w:rPr>
        <w:t>Quick summary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Strong third quarter:</w:t>
      </w:r>
      <w:r>
        <w:rPr>
          <w:b w:val="0"/>
        </w:rPr>
        <w:t xml:space="preserve"> net profit EUR 37.5m (EUR 26.3m a year ago), ROE 19.3%. Nine-month profit EUR 81.9m, slightly below last year (EUR 86.2m)</w:t>
      </w:r>
      <w:hyperlink r:id="rId16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On track for the plan:</w:t>
      </w:r>
      <w:r>
        <w:rPr>
          <w:b w:val="0"/>
        </w:rPr>
        <w:t xml:space="preserve"> management says Q3 results were "firmly ahead of our financial plans" and the year's targets will be met. The 2026 plan is EUR 117.9m net profit</w:t>
      </w:r>
      <w:hyperlink r:id="rId14">
        <w:r>
          <w:rPr>
            <w:color w:val="2A78D6"/>
            <w:vertAlign w:val="superscript"/>
            <w:sz w:val="17"/>
          </w:rPr>
          <w:t xml:space="preserve">6</w:t>
        </w:r>
      </w:hyperlink>
      <w:r>
        <w:rPr>
          <w:color w:val="2A78D6"/>
          <w:vertAlign w:val="superscript"/>
        </w:rPr>
        <w:t>,</w:t>
      </w:r>
      <w:hyperlink r:id="rId17">
        <w:r>
          <w:rPr>
            <w:color w:val="2A78D6"/>
            <w:vertAlign w:val="superscript"/>
            <w:sz w:val="17"/>
          </w:rPr>
          <w:t xml:space="preserve">7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Smaller capital buffer:</w:t>
      </w:r>
      <w:r>
        <w:rPr>
          <w:b w:val="0"/>
        </w:rPr>
        <w:t xml:space="preserve"> total capital 20.25% (YE2025 22.39%), CET1 15.28% (17.04%). The internal target is 20.0%</w:t>
      </w:r>
      <w:hyperlink r:id="rId15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Liquidity and MREL with headroom:</w:t>
      </w:r>
      <w:r>
        <w:rPr>
          <w:b w:val="0"/>
        </w:rPr>
        <w:t xml:space="preserve"> LCR 173.9%, MREL 35.04% of TREA versus a 24.59% requirement</w:t>
      </w:r>
      <w:hyperlink r:id="rId15">
        <w:r>
          <w:rPr>
            <w:color w:val="2A78D6"/>
            <w:vertAlign w:val="superscript"/>
            <w:sz w:val="17"/>
          </w:rPr>
          <w:t xml:space="preserve">8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Loans growing:</w:t>
      </w:r>
      <w:r>
        <w:rPr>
          <w:b w:val="0"/>
        </w:rPr>
        <w:t xml:space="preserve"> loans to customers EUR 5,951m (+8.9% since YE2025; own calculation), deposits EUR 7,735m</w:t>
      </w:r>
      <w:hyperlink r:id="rId16">
        <w:r>
          <w:rPr>
            <w:color w:val="2A78D6"/>
            <w:vertAlign w:val="superscript"/>
            <w:sz w:val="17"/>
          </w:rPr>
          <w:t xml:space="preserve">9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01</w:t>
        <w:tab/>
      </w:r>
      <w:r>
        <w:rPr>
          <w:b/>
          <w:color w:val="12355B"/>
          <w:sz w:val="28"/>
        </w:rPr>
        <w:t>Instruments held and ISINs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1457"/>
        <w:gridCol w:w="2241"/>
        <w:gridCol w:w="1064"/>
        <w:gridCol w:w="1120"/>
        <w:gridCol w:w="1569"/>
        <w:gridCol w:w="2185"/>
      </w:tblGrid>
      <w:tr>
        <w:tc>
          <w:tcPr>
            <w:tcW w:type="dxa" w:w="14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ISIN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Instrument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Coupon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Maturity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Issue rating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Note</w:t>
            </w:r>
          </w:p>
        </w:tc>
      </w:tr>
      <w:tr>
        <w:tc>
          <w:tcPr>
            <w:tcW w:type="dxa" w:w="14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XS2822574245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LHV Group 5.375% senior notes 2028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5.375%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2028-05-24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Moody's Baa2 (senior unsecured (class rating, 2025-09-01))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Senior unsecured (holding company); callable 2027-05-24</w:t>
            </w:r>
          </w:p>
        </w:tc>
      </w:tr>
      <w:tr>
        <w:tc>
          <w:tcPr>
            <w:tcW w:type="dxa" w:w="14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XS3153067288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LHV Group 5.5% Tier 2 2035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5.5%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2035-09-16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no separate rating found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Subordinated Tier 2</w:t>
            </w:r>
          </w:p>
        </w:tc>
      </w:tr>
      <w:tr>
        <w:tc>
          <w:tcPr>
            <w:tcW w:type="dxa" w:w="14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EE3300004993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LHV Group 6.0% Tier 2 2034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6.0%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2034-11-15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no separate rating found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Subordinated Tier 2</w:t>
            </w:r>
          </w:p>
        </w:tc>
      </w:tr>
      <w:tr>
        <w:tc>
          <w:tcPr>
            <w:tcW w:type="dxa" w:w="14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XS2693753704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LHV Group senior FRN 2027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2027-10-03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Moody's Baa2 (senior unsecured (class rating, 2025-09-01))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Senior unsecured (holding company), floating rate; coupon not found in public sources read</w:t>
            </w:r>
          </w:p>
        </w:tc>
      </w:tr>
      <w:tr>
        <w:tc>
          <w:tcPr>
            <w:tcW w:type="dxa" w:w="14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XS3042781024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LHV Group 9.5% AT1 perpetual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9.5%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perpetual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no separate rating found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Additional Tier 1, perpetual; call date not found</w:t>
            </w:r>
          </w:p>
        </w:tc>
      </w:tr>
      <w:tr>
        <w:tc>
          <w:tcPr>
            <w:tcW w:type="dxa" w:w="14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XS3090105829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LHV Group 4.125% senior notes 2029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4.125%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2029-06-18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Moody's Baa2 (senior unsecured (class rating, 2025-09-01))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Senior unsecured (holding company); callable 2028-06-18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02</w:t>
        <w:tab/>
      </w:r>
      <w:r>
        <w:rPr>
          <w:b/>
          <w:color w:val="12355B"/>
          <w:sz w:val="28"/>
        </w:rPr>
        <w:t>Key ratios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864"/>
        <w:gridCol w:w="1156"/>
        <w:gridCol w:w="1156"/>
        <w:gridCol w:w="1156"/>
        <w:gridCol w:w="1156"/>
        <w:gridCol w:w="2148"/>
      </w:tblGrid>
      <w:tr>
        <w:tc>
          <w:tcPr>
            <w:tcW w:type="dxa" w:w="286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Metric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FY2024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FY2025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9M2025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9M2026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Change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Net profit, EUR m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150.3*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117.0*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86.23*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81.91*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5.0 % vs 9M2025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Net interest income, EUR m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273.3*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235.1*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175.18*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190.57*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8.8 % vs 9M2025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Total operating income, EUR m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338.3*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304.8*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225.95*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232.69*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3.0 % vs 9M2025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Cost/income ratio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43.4%*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52.3%*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51.7%*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FDF1D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57.0%*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▲ 5.3 p. p. vs 9M2025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ROE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24.5%*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16.0%*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16.1%*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14.0%*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2.1 p. p. vs 9M2025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Net interest margin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3.48%*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2.49%*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2.57%*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2.51%*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0.06 p. p. vs 9M2025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Loans to customers, EUR m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1">
              <w:r>
                <w:rPr>
                  <w:color w:val="2A78D6"/>
                  <w:vertAlign w:val="superscript"/>
                  <w:sz w:val="14"/>
                </w:rPr>
                <w:t xml:space="preserve">13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4,552*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5,465.4*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5,234.3*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5,951.0*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13.7 % vs 9M2025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Customer deposits, EUR m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1">
              <w:r>
                <w:rPr>
                  <w:color w:val="2A78D6"/>
                  <w:vertAlign w:val="superscript"/>
                  <w:sz w:val="14"/>
                </w:rPr>
                <w:t xml:space="preserve">13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6,910*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8,134.4*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7,452.9*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7,735.3*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3.8 % vs 9M2025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CET1 ratio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2">
              <w:r>
                <w:rPr>
                  <w:color w:val="2A78D6"/>
                  <w:vertAlign w:val="superscript"/>
                  <w:sz w:val="14"/>
                </w:rPr>
                <w:t xml:space="preserve">14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16.89%*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17.04%*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15.28%*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1.76 p. p. vs FY2025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Total capital ratio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3">
              <w:r>
                <w:rPr>
                  <w:color w:val="2A78D6"/>
                  <w:vertAlign w:val="superscript"/>
                  <w:sz w:val="14"/>
                </w:rPr>
                <w:t xml:space="preserve">15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20.68%*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22.39%*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23.3%*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20.25%*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3.05 p. p. vs 9M2025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Leverage ratio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12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6.71%*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7.0%*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0.29 p. p. vs FY2024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MREL (% of TREA)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33.24%*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34.73%*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35.04%*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0.31 p. p. vs FY2025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LCR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187.5%*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185.0%*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173.9%*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11.1 p. p. vs FY2025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NSFR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12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154.4%*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156.8%*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2.4 p. p. vs FY2024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NPL ratio</w:t>
            </w:r>
            <w:hyperlink r:id="rId24">
              <w:r>
                <w:rPr>
                  <w:color w:val="2A78D6"/>
                  <w:vertAlign w:val="superscript"/>
                  <w:sz w:val="14"/>
                </w:rPr>
                <w:t xml:space="preserve">16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1.2%ᶜ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color w:val="5F6B7A"/>
                <w:sz w:val="17"/>
              </w:rPr>
              <w:t>–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667085"/>
          <w:sz w:val="16"/>
        </w:rPr>
        <w:t>Colours: green change – the metric is improving, red – worsening. Latest-period cell background: green – good level, amber – average, red – weak (internal benchmarks, config/metric_rules.yaml).</w:t>
      </w:r>
    </w:p>
    <w:p>
      <w:pPr>
        <w:spacing w:before="40" w:after="60"/>
      </w:pPr>
      <w:r>
        <w:rPr>
          <w:b w:val="0"/>
          <w:color w:val="667085"/>
          <w:sz w:val="16"/>
        </w:rPr>
        <w:t>* – taken from the report summary;  ᶜ – own calculation. Small numbers next to text link to the source (opens the document at the cited page).</w:t>
      </w:r>
    </w:p>
    <w:p>
      <w:r>
        <w:drawing>
          <wp:inline xmlns:a="http://schemas.openxmlformats.org/drawingml/2006/main" xmlns:pic="http://schemas.openxmlformats.org/drawingml/2006/picture">
            <wp:extent cx="6120000" cy="17138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hv_e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13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03</w:t>
        <w:tab/>
      </w:r>
      <w:r>
        <w:rPr>
          <w:b/>
          <w:color w:val="12355B"/>
          <w:sz w:val="28"/>
        </w:rPr>
        <w:t>Business performance review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Nine-month net interest income EUR 190.6m (+8.8%), total income EUR 232.7m (+3.0%; changes are own calculation). Q3 net interest margin 2.80% (2.36% a year ago)</w:t>
      </w:r>
      <w:hyperlink r:id="rId16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Nine-month cost/income 57.0% (51.7% a year ago). EUR 8.9m of provisions were released in Q3, so loan losses had no negative impact</w:t>
      </w:r>
      <w:hyperlink r:id="rId16">
        <w:r>
          <w:rPr>
            <w:color w:val="2A78D6"/>
            <w:vertAlign w:val="superscript"/>
            <w:sz w:val="17"/>
          </w:rPr>
          <w:t xml:space="preserve">17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LHV Bank (UK) is behind plan:</w:t>
      </w:r>
      <w:r>
        <w:rPr>
          <w:b w:val="0"/>
        </w:rPr>
        <w:t xml:space="preserve"> profit before tax GBP 4.7m versus GBP 7.2m planned; GBP 10m of CET1 capital injected in September</w:t>
      </w:r>
      <w:hyperlink r:id="rId26">
        <w:r>
          <w:rPr>
            <w:color w:val="2A78D6"/>
            <w:vertAlign w:val="superscript"/>
            <w:sz w:val="17"/>
          </w:rPr>
          <w:t xml:space="preserve">18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Stage 3 (non-performing) loans EUR 72.4m, about 1.2% of loans (own calculation)</w:t>
      </w:r>
      <w:hyperlink r:id="rId24">
        <w:r>
          <w:rPr>
            <w:color w:val="2A78D6"/>
            <w:vertAlign w:val="superscript"/>
            <w:sz w:val="17"/>
          </w:rPr>
          <w:t xml:space="preserve">16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04</w:t>
        <w:tab/>
      </w:r>
      <w:r>
        <w:rPr>
          <w:b/>
          <w:color w:val="12355B"/>
          <w:sz w:val="28"/>
        </w:rPr>
        <w:t>Financials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FY2025 net profit EUR 117.0m (2024:</w:t>
      </w:r>
      <w:r>
        <w:rPr>
          <w:b w:val="0"/>
        </w:rPr>
        <w:t xml:space="preserve"> 150.3m), ROE 16.0% (24.5%): lower interest rates reduced interest income. The bank missed its 2025 targets, with profitability 6.5% short</w:t>
      </w:r>
      <w:hyperlink r:id="rId19">
        <w:r>
          <w:rPr>
            <w:color w:val="2A78D6"/>
            <w:vertAlign w:val="superscript"/>
            <w:sz w:val="17"/>
          </w:rPr>
          <w:t xml:space="preserve">19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Year-end 2025 capital ratios were restated after an ECB inspection: CET1 17.04% (annual report: 17.42%), total capital 22.39% (22.85%). The ECB imposed a EUR 0.4m penalty for wrongly calculated risk-weighted assets related to the investment in the UK entity</w:t>
      </w:r>
      <w:hyperlink r:id="rId15">
        <w:r>
          <w:rPr>
            <w:color w:val="2A78D6"/>
            <w:vertAlign w:val="superscript"/>
            <w:sz w:val="17"/>
          </w:rPr>
          <w:t xml:space="preserve">8</w:t>
        </w:r>
      </w:hyperlink>
      <w:r>
        <w:rPr>
          <w:color w:val="2A78D6"/>
          <w:vertAlign w:val="superscript"/>
        </w:rPr>
        <w:t>,</w:t>
      </w:r>
      <w:hyperlink r:id="rId27">
        <w:r>
          <w:rPr>
            <w:color w:val="2A78D6"/>
            <w:vertAlign w:val="superscript"/>
            <w:sz w:val="17"/>
          </w:rPr>
          <w:t xml:space="preserve">20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Dividends:</w:t>
      </w:r>
      <w:r>
        <w:rPr>
          <w:b w:val="0"/>
        </w:rPr>
        <w:t xml:space="preserve"> EUR 57.9m paid in 9M 2026; dividend per share for 2025 EUR 0.09 (2024: EUR 0.13)</w:t>
      </w:r>
      <w:hyperlink r:id="rId28">
        <w:r>
          <w:rPr>
            <w:color w:val="2A78D6"/>
            <w:vertAlign w:val="superscript"/>
            <w:sz w:val="17"/>
          </w:rPr>
          <w:t xml:space="preserve">21</w:t>
        </w:r>
      </w:hyperlink>
      <w:r>
        <w:rPr>
          <w:color w:val="2A78D6"/>
          <w:vertAlign w:val="superscript"/>
        </w:rPr>
        <w:t>,</w:t>
      </w:r>
      <w:hyperlink r:id="rId20">
        <w:r>
          <w:rPr>
            <w:color w:val="2A78D6"/>
            <w:vertAlign w:val="superscript"/>
            <w:sz w:val="17"/>
          </w:rPr>
          <w:t xml:space="preserve">12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05</w:t>
        <w:tab/>
      </w:r>
      <w:r>
        <w:rPr>
          <w:b/>
          <w:color w:val="12355B"/>
          <w:sz w:val="28"/>
        </w:rPr>
        <w:t>Past plans vs outcomes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577"/>
        <w:gridCol w:w="2577"/>
        <w:gridCol w:w="3138"/>
        <w:gridCol w:w="1344"/>
      </w:tblGrid>
      <w:tr>
        <w:tc>
          <w:tcPr>
            <w:tcW w:type="dxa" w:w="257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Plan / target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Outcome</w:t>
            </w:r>
          </w:p>
        </w:tc>
        <w:tc>
          <w:tcPr>
            <w:tcW w:type="dxa" w:w="313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What changed and why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Status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2026 financial plan: EUR 117.9m net profit, ROE 15.0%, total capital 20.9%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9M: EUR 81.9m profit, ROE 14.0%; management expects to meet the targets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3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In progress: Q3 results are ahead of plan thanks to higher interest income and provision releases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22</w:t>
              </w:r>
            </w:hyperlink>
            <w:r>
              <w:rPr>
                <w:b w:val="0"/>
                <w:sz w:val="17"/>
              </w:rPr>
              <w:t>. Capital (20.25%) is currently below the 20.9% plan</w:t>
            </w:r>
            <w:hyperlink r:id="rId22">
              <w:r>
                <w:rPr>
                  <w:color w:val="2A78D6"/>
                  <w:vertAlign w:val="superscript"/>
                  <w:sz w:val="14"/>
                </w:rPr>
                <w:t xml:space="preserve">14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sz w:val="17"/>
              </w:rPr>
              <w:t>In progress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2025 financial plan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Missed: profitability 6.5% below plan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Missed: interest rates fell faster than expected and net interest income dropped from EUR 273.3m to 235.1m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23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FDE7E5"/>
          </w:tcPr>
          <w:p>
            <w:pPr>
              <w:spacing w:before="0" w:after="0"/>
            </w:pPr>
            <w:r>
              <w:rPr>
                <w:b/>
                <w:sz w:val="17"/>
              </w:rPr>
              <w:t>Not met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More than double net profit by 2030 (plan for 2030: EUR 290.2m), ROE target 20%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Long-term target; 2026 progress in line with plan</w:t>
            </w:r>
            <w:hyperlink r:id="rId29">
              <w:r>
                <w:rPr>
                  <w:color w:val="2A78D6"/>
                  <w:vertAlign w:val="superscript"/>
                  <w:sz w:val="14"/>
                </w:rPr>
                <w:t xml:space="preserve">24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New target announced in the 2025 annual report</w:t>
            </w:r>
            <w:hyperlink r:id="rId29">
              <w:r>
                <w:rPr>
                  <w:color w:val="2A78D6"/>
                  <w:vertAlign w:val="superscript"/>
                  <w:sz w:val="14"/>
                </w:rPr>
                <w:t xml:space="preserve">25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sz w:val="17"/>
              </w:rPr>
              <w:t>In progress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Dividend policy: dividends including taxes 25% of pre-tax profit, without hurting capital targets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For 2025: EUR 0.09 per share; 2026 plan: EUR 0.08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26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Paid in line with the policy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27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</w:pPr>
            <w:r>
              <w:rPr>
                <w:b/>
                <w:sz w:val="17"/>
              </w:rPr>
              <w:t>Met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06</w:t>
        <w:tab/>
      </w:r>
      <w:r>
        <w:rPr>
          <w:b/>
          <w:color w:val="12355B"/>
          <w:sz w:val="28"/>
        </w:rPr>
        <w:t>Investor information &amp; conclusions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Instruments held (all issued by LHV Group, the holding company):</w:t>
      </w:r>
      <w:r>
        <w:rPr>
          <w:b w:val="0"/>
        </w:rPr>
        <w:t xml:space="preserve"> three senior unsecured bonds, 5.375% 2028 (call 2027-05-24, EUR 300m), 4.125% 2029 (call 2028-06-18, EUR 60m) and an FRN due 2027-10-03 (EUR 100m); two Tier 2, 6.0% 2034 (EUR 20m) and 5.5% 2035 (EUR 80m); and a 9.5% perpetual AT1 (EUR 50m)</w:t>
      </w:r>
      <w:hyperlink r:id="rId30">
        <w:r>
          <w:rPr>
            <w:color w:val="2A78D6"/>
            <w:vertAlign w:val="superscript"/>
            <w:sz w:val="17"/>
          </w:rPr>
          <w:t xml:space="preserve">28</w:t>
        </w:r>
      </w:hyperlink>
      <w:r>
        <w:rPr>
          <w:color w:val="2A78D6"/>
          <w:vertAlign w:val="superscript"/>
        </w:rPr>
        <w:t>,</w:t>
      </w:r>
      <w:hyperlink r:id="rId31">
        <w:r>
          <w:rPr>
            <w:color w:val="2A78D6"/>
            <w:vertAlign w:val="superscript"/>
            <w:sz w:val="17"/>
          </w:rPr>
          <w:t xml:space="preserve">29</w:t>
        </w:r>
      </w:hyperlink>
      <w:r>
        <w:rPr>
          <w:color w:val="2A78D6"/>
          <w:vertAlign w:val="superscript"/>
        </w:rPr>
        <w:t>,</w:t>
      </w:r>
      <w:hyperlink r:id="rId32">
        <w:r>
          <w:rPr>
            <w:color w:val="2A78D6"/>
            <w:vertAlign w:val="superscript"/>
            <w:sz w:val="17"/>
          </w:rPr>
          <w:t xml:space="preserve">30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Rating:</w:t>
      </w:r>
      <w:r>
        <w:rPr>
          <w:b w:val="0"/>
        </w:rPr>
        <w:t xml:space="preserve"> Moody's rates LHV Group senior unsecured debt Baa2 with a positive outlook</w:t>
      </w:r>
      <w:hyperlink r:id="rId12">
        <w:r>
          <w:rPr>
            <w:color w:val="2A78D6"/>
            <w:vertAlign w:val="superscript"/>
            <w:sz w:val="17"/>
          </w:rPr>
          <w:t xml:space="preserve">1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For subordinated bonds:</w:t>
      </w:r>
      <w:r>
        <w:rPr>
          <w:b w:val="0"/>
        </w:rPr>
        <w:t xml:space="preserve"> total capital of 20.25% is only slightly above the internal 20.0% target, while MREL of 35.04% is above the 30.59% level that gates dividends</w:t>
      </w:r>
      <w:hyperlink r:id="rId15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b w:val="0"/>
        </w:rPr>
        <w:t>. AT1 coupons are therefore more sensitive to capital than the senior bonds.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2026 funding:</w:t>
      </w:r>
      <w:r>
        <w:rPr>
          <w:b w:val="0"/>
        </w:rPr>
        <w:t xml:space="preserve"> a new EUR 200m 4.50% senior bond (2030) and a EUR 15m 8.0% AT1 were issued; the EUR 20m 7.0% bond EE3300003250 was redeemed early</w:t>
      </w:r>
      <w:hyperlink r:id="rId31">
        <w:r>
          <w:rPr>
            <w:color w:val="2A78D6"/>
            <w:vertAlign w:val="superscript"/>
            <w:sz w:val="17"/>
          </w:rPr>
          <w:t xml:space="preserve">29</w:t>
        </w:r>
      </w:hyperlink>
      <w:r>
        <w:rPr>
          <w:color w:val="2A78D6"/>
          <w:vertAlign w:val="superscript"/>
        </w:rPr>
        <w:t>,</w:t>
      </w:r>
      <w:hyperlink r:id="rId32">
        <w:r>
          <w:rPr>
            <w:color w:val="2A78D6"/>
            <w:vertAlign w:val="superscript"/>
            <w:sz w:val="17"/>
          </w:rPr>
          <w:t xml:space="preserve">30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Conclusion:</w:t>
      </w:r>
      <w:r>
        <w:rPr>
          <w:b w:val="0"/>
        </w:rPr>
        <w:t xml:space="preserve"> profitability is recovering and the plan is on track; liquidity and MREL have headroom. The capital buffer is smaller, but the bank stays within its internal target.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07</w:t>
        <w:tab/>
      </w:r>
      <w:r>
        <w:rPr>
          <w:b/>
          <w:color w:val="12355B"/>
          <w:sz w:val="28"/>
        </w:rPr>
        <w:t>Market and environment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Higher rates, higher income:</w:t>
      </w:r>
      <w:r>
        <w:rPr>
          <w:b w:val="0"/>
        </w:rPr>
        <w:t xml:space="preserve"> Q3 net interest income EUR 68.8m (+24% y/y); management says income exceeds the budget thanks to higher-than-expected market rates and strong loan demand</w:t>
      </w:r>
      <w:hyperlink r:id="rId14">
        <w:r>
          <w:rPr>
            <w:color w:val="2A78D6"/>
            <w:vertAlign w:val="superscript"/>
            <w:sz w:val="17"/>
          </w:rPr>
          <w:t xml:space="preserve">6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Rate environment:</w:t>
      </w:r>
      <w:r>
        <w:rPr>
          <w:b w:val="0"/>
        </w:rPr>
        <w:t xml:space="preserve"> the ECB raised the deposit rate to 2.50%, 6-month Euribor rose to 3.0% by end-September and 12-month to about 3.3%</w:t>
      </w:r>
      <w:hyperlink r:id="rId33">
        <w:r>
          <w:rPr>
            <w:color w:val="2A78D6"/>
            <w:vertAlign w:val="superscript"/>
            <w:sz w:val="17"/>
          </w:rPr>
          <w:t xml:space="preserve">31</w:t>
        </w:r>
      </w:hyperlink>
      <w:r>
        <w:rPr>
          <w:b w:val="0"/>
        </w:rPr>
        <w:t>. Estonian inflation accelerated to 3.5% in September</w:t>
      </w:r>
      <w:hyperlink r:id="rId34">
        <w:r>
          <w:rPr>
            <w:color w:val="2A78D6"/>
            <w:vertAlign w:val="superscript"/>
            <w:sz w:val="17"/>
          </w:rPr>
          <w:t xml:space="preserve">32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Outlook:</w:t>
      </w:r>
      <w:r>
        <w:rPr>
          <w:b w:val="0"/>
        </w:rPr>
        <w:t xml:space="preserve"> management is confident of meeting its financial plan, with key indicators ahead of plan</w:t>
      </w:r>
      <w:hyperlink r:id="rId14">
        <w:r>
          <w:rPr>
            <w:color w:val="2A78D6"/>
            <w:vertAlign w:val="superscript"/>
            <w:sz w:val="17"/>
          </w:rPr>
          <w:t xml:space="preserve">6</w:t>
        </w:r>
      </w:hyperlink>
      <w:r>
        <w:rPr>
          <w:b w:val="0"/>
        </w:rPr>
        <w:t>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3515"/>
        <w:gridCol w:w="1814"/>
        <w:gridCol w:w="1360"/>
        <w:gridCol w:w="1360"/>
        <w:gridCol w:w="1587"/>
      </w:tblGrid>
      <w:tr>
        <w:tc>
          <w:tcPr>
            <w:tcW w:type="dxa" w:w="351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</w:r>
          </w:p>
        </w:tc>
        <w:tc>
          <w:tcPr>
            <w:tcW w:type="dxa" w:w="181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Now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3 months ago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12 months ago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12-month change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ECB deposit facility rate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2.50%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2.25%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3-month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2.64%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2.34%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2.03%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0.61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6-month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2.92%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2.60%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2.10%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0.82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12-month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3.25%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2.80%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2.17%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1.08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Euro area AAA government 10-year yield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3.38% (2026-10)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3.23%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2.72%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0.66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Euro area inflation (HICP, annual)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1.90% (2025-12)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2.20%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2.40%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▼ 0.50 p. p.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667085"/>
          <w:sz w:val="16"/>
        </w:rPr>
        <w:t>Euro area rates and inflation (ECB data, end-of-month value; Euribor and inflation – monthly average). Relevant for floating-rate and reset bonds and refinancing costs.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08</w:t>
        <w:tab/>
      </w:r>
      <w:r>
        <w:rPr>
          <w:b/>
          <w:color w:val="12355B"/>
          <w:sz w:val="28"/>
        </w:rPr>
        <w:t>In the press</w:t>
      </w:r>
    </w:p>
    <w:p>
      <w:pPr>
        <w:spacing w:before="40" w:after="60"/>
      </w:pPr>
      <w:r>
        <w:rPr>
          <w:b w:val="0"/>
          <w:color w:val="667085"/>
          <w:sz w:val="18"/>
        </w:rPr>
        <w:t>Automatic news scan (Google News, EE), 2026-07-25 – 2026-10-23: 11 articles.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0" w:type="dxa"/>
          <w:left w:w="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20"/>
        <w:gridCol w:w="1360"/>
        <w:gridCol w:w="7257"/>
      </w:tblGrid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2026-10-05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MANAGEMENT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5">
              <w:r>
                <w:rPr>
                  <w:color w:val="1B2430"/>
                  <w:sz w:val="18"/>
                </w:rPr>
                <w:t xml:space="preserve">INTERVJUU ⟩ Coop Panga juht: me oleme rõõmsad LHVst tulevate töötajate ja klientide üle</w:t>
              </w:r>
            </w:hyperlink>
            <w:r>
              <w:rPr>
                <w:b w:val="0"/>
                <w:color w:val="667085"/>
                <w:sz w:val="15"/>
              </w:rPr>
              <w:t xml:space="preserve">   Majandus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2026-09-23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MANAGEMENT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6">
              <w:r>
                <w:rPr>
                  <w:color w:val="1B2430"/>
                  <w:sz w:val="18"/>
                </w:rPr>
                <w:t xml:space="preserve">LHV juhatuse liige: ettevõtjad mängivad ellujäämise mängu. “Ärge kartke Rain Lõhmust!”</w:t>
              </w:r>
            </w:hyperlink>
            <w:r>
              <w:rPr>
                <w:b w:val="0"/>
                <w:color w:val="667085"/>
                <w:sz w:val="15"/>
              </w:rPr>
              <w:t xml:space="preserve">   Äripäev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2026-10-20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1F4E79"/>
                <w:sz w:val="14"/>
                <w:shd w:val="clear" w:color="auto" w:fill="EAF1F8"/>
              </w:rPr>
              <w:t xml:space="preserve"> RESULTS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7">
              <w:r>
                <w:rPr>
                  <w:color w:val="1B2430"/>
                  <w:sz w:val="18"/>
                </w:rPr>
                <w:t xml:space="preserve">LHV Groupi 2026. aasta III kvartali ja 9 kuu auditeerimata majandustulemused</w:t>
              </w:r>
            </w:hyperlink>
            <w:r>
              <w:rPr>
                <w:b w:val="0"/>
                <w:color w:val="667085"/>
                <w:sz w:val="15"/>
              </w:rPr>
              <w:t xml:space="preserve">   GlobeNewswire  ·  2 more similar articles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2026-10-13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1F4E79"/>
                <w:sz w:val="14"/>
                <w:shd w:val="clear" w:color="auto" w:fill="EAF1F8"/>
              </w:rPr>
              <w:t xml:space="preserve"> RESULTS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8">
              <w:r>
                <w:rPr>
                  <w:color w:val="1B2430"/>
                  <w:sz w:val="18"/>
                </w:rPr>
                <w:t xml:space="preserve">AS LHV Group 2026. aasta III kvartali majandustulemuste tutvustamise veebiseminar</w:t>
              </w:r>
            </w:hyperlink>
            <w:r>
              <w:rPr>
                <w:b w:val="0"/>
                <w:color w:val="667085"/>
                <w:sz w:val="15"/>
              </w:rPr>
              <w:t xml:space="preserve">   GlobeNewswire  ·  1 more similar articles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2026-10-22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OTHER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9">
              <w:r>
                <w:rPr>
                  <w:color w:val="1B2430"/>
                  <w:sz w:val="18"/>
                </w:rPr>
                <w:t xml:space="preserve">Kuhu investeeriti LHV Kasvukontoga III kvartalis 2026?</w:t>
              </w:r>
            </w:hyperlink>
            <w:r>
              <w:rPr>
                <w:b w:val="0"/>
                <w:color w:val="667085"/>
                <w:sz w:val="15"/>
              </w:rPr>
              <w:t xml:space="preserve">   LHV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2026-10-20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OTHER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40">
              <w:r>
                <w:rPr>
                  <w:color w:val="1B2430"/>
                  <w:sz w:val="18"/>
                </w:rPr>
                <w:t xml:space="preserve">LHV Groupi 20. oktoobri investorkohtumise salvestus</w:t>
              </w:r>
            </w:hyperlink>
            <w:r>
              <w:rPr>
                <w:b w:val="0"/>
                <w:color w:val="667085"/>
                <w:sz w:val="15"/>
              </w:rPr>
              <w:t xml:space="preserve">   GlobeNewswire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2026-10-12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OTHER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41">
              <w:r>
                <w:rPr>
                  <w:color w:val="1B2430"/>
                  <w:sz w:val="18"/>
                </w:rPr>
                <w:t xml:space="preserve">LHV Bank Limited tegevjuhiks nimetati Damian Thompson</w:t>
              </w:r>
            </w:hyperlink>
            <w:r>
              <w:rPr>
                <w:b w:val="0"/>
                <w:color w:val="667085"/>
                <w:sz w:val="15"/>
              </w:rPr>
              <w:t xml:space="preserve">   GlobeNewswire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2026-10-01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OTHER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42">
              <w:r>
                <w:rPr>
                  <w:color w:val="1B2430"/>
                  <w:sz w:val="18"/>
                </w:rPr>
                <w:t xml:space="preserve">Mis aktsiaid ostsid ja müüsid LHV kliendid septembris?</w:t>
              </w:r>
            </w:hyperlink>
            <w:r>
              <w:rPr>
                <w:b w:val="0"/>
                <w:color w:val="667085"/>
                <w:sz w:val="15"/>
              </w:rPr>
              <w:t xml:space="preserve">   LHV Finantsportaal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09</w:t>
        <w:tab/>
      </w:r>
      <w:r>
        <w:rPr>
          <w:b/>
          <w:color w:val="12355B"/>
          <w:sz w:val="28"/>
        </w:rPr>
        <w:t>ESG report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Exclusionary screening (companies)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not involved in excluded sectors: controversial and nuclear weapons, tobacco, gambling and restricted sectors in fossil fuel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The bank is not active in excluded sectors.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It publishes a list of activities that go against its credit policy</w:t>
            </w:r>
            <w:hyperlink r:id="rId43">
              <w:r>
                <w:rPr>
                  <w:color w:val="2A78D6"/>
                  <w:vertAlign w:val="superscript"/>
                  <w:sz w:val="15"/>
                </w:rPr>
                <w:t xml:space="preserve">33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The credit policy rules out lending to customers with clear evidence of human rights violations or serious environmental harm</w:t>
            </w:r>
            <w:hyperlink r:id="rId44">
              <w:r>
                <w:rPr>
                  <w:color w:val="2A78D6"/>
                  <w:vertAlign w:val="superscript"/>
                  <w:sz w:val="15"/>
                </w:rPr>
                <w:t xml:space="preserve">34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does not have red flag/signal related to controversies based on UN Global Compact, OECD Guidelines for Multinational Enterprises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UN Global Compact or OECD related controversies found (quick search, 2026-10-22).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The only supervisory penalty is a EUR 0.4m ECB fine over risk-weighted asset calculation</w:t>
            </w:r>
            <w:hyperlink r:id="rId27">
              <w:r>
                <w:rPr>
                  <w:color w:val="2A78D6"/>
                  <w:vertAlign w:val="superscript"/>
                  <w:sz w:val="15"/>
                </w:rPr>
                <w:t xml:space="preserve">20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not in the list of sanctions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Not found on the EU, UN, UK, US OFAC consolidated sanctions lists (automatic check 2026-10-23).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Manual check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OFAC sanctions search</w:t>
            </w:r>
            <w:hyperlink r:id="rId45">
              <w:r>
                <w:rPr>
                  <w:color w:val="2A78D6"/>
                  <w:vertAlign w:val="superscript"/>
                  <w:sz w:val="15"/>
                </w:rPr>
                <w:t xml:space="preserve">35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EU Sanctions Map</w:t>
            </w:r>
            <w:hyperlink r:id="rId46">
              <w:r>
                <w:rPr>
                  <w:color w:val="2A78D6"/>
                  <w:vertAlign w:val="superscript"/>
                  <w:sz w:val="15"/>
                </w:rPr>
                <w:t xml:space="preserve">36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SEB eNameChecker (internal SEB system).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issues were not identified from adverse media checks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adverse news about LHV found (search in Estonian and English, 2026-10-22).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The main case has LHV as the claimant: in July 2025 the bank notified the Financial Intelligence Unit of its intent to claim a EUR 247.5m contractual penalty, because the unit accessed LHV client account statements 1,289 times without legal basis</w:t>
            </w:r>
            <w:hyperlink r:id="rId47">
              <w:r>
                <w:rPr>
                  <w:color w:val="2A78D6"/>
                  <w:vertAlign w:val="superscript"/>
                  <w:sz w:val="15"/>
                </w:rPr>
                <w:t xml:space="preserve">37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News summary 2026-07-25 – 2026-10-23: 11 articles, 0 with an adverse keyword in the headline (details in the section "In the press").</w:t>
            </w:r>
          </w:p>
        </w:tc>
      </w:tr>
    </w:tbl>
    <w:p>
      <w:pPr>
        <w:spacing w:before="120" w:after="40"/>
      </w:pPr>
      <w:r>
        <w:rPr>
          <w:i/>
          <w:color w:val="333333"/>
          <w:sz w:val="18"/>
        </w:rPr>
        <w:t>In case any red flags, risks, unclarities were identified then additional checks (sanctions screening and adverse media checks) on the company’s Ultimate Beneficial Owners and/or senior management shall be performed.</w:t>
      </w:r>
    </w:p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ESG integration and positive screening (positive answers imply higher allocation)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promoting environmental or social characteristics (activities, ESG policy, good ESG rating, etc)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Sustainable products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Energy-efficient home loans, EV leasing, apartment renovation and energy project loans, the EIF sustainable loan programme</w:t>
            </w:r>
            <w:hyperlink r:id="rId44">
              <w:r>
                <w:rPr>
                  <w:color w:val="2A78D6"/>
                  <w:vertAlign w:val="superscript"/>
                  <w:sz w:val="15"/>
                </w:rPr>
                <w:t xml:space="preserve">34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Targets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At least 50% of new mortgages for A and B energy class housing, 100% renewable electricity by 2030</w:t>
            </w:r>
            <w:hyperlink r:id="rId48">
              <w:r>
                <w:rPr>
                  <w:color w:val="2A78D6"/>
                  <w:vertAlign w:val="superscript"/>
                  <w:sz w:val="15"/>
                </w:rPr>
                <w:t xml:space="preserve">38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financing of new diesel passenger cars from 2030</w:t>
            </w:r>
            <w:hyperlink r:id="rId49">
              <w:r>
                <w:rPr>
                  <w:color w:val="2A78D6"/>
                  <w:vertAlign w:val="superscript"/>
                  <w:sz w:val="15"/>
                </w:rPr>
                <w:t xml:space="preserve">39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activities of the company or it’s strategy is aligned with the taxonomy and/or Paris agreement targets (e.g. net zero commitment)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Aims to contribute to the Paris Agreement goals and the transition to a climate-neutral economy by 2050</w:t>
            </w:r>
            <w:hyperlink r:id="rId44">
              <w:r>
                <w:rPr>
                  <w:color w:val="2A78D6"/>
                  <w:vertAlign w:val="superscript"/>
                  <w:sz w:val="15"/>
                </w:rPr>
                <w:t xml:space="preserve">40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Green asset ratio 4.86%</w:t>
            </w:r>
            <w:hyperlink r:id="rId50">
              <w:r>
                <w:rPr>
                  <w:color w:val="2A78D6"/>
                  <w:vertAlign w:val="superscript"/>
                  <w:sz w:val="15"/>
                </w:rPr>
                <w:t xml:space="preserve">41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does not have yellow flag/signal related to controversies based on UN Global Compact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yellow flags found.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fulfills the expectations from SEB thematic and sector policies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Applicable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SEB sector policy for banks, so the Investments policy and the Environmental and Social &amp; Human Rights policies apply</w:t>
            </w:r>
            <w:hyperlink r:id="rId51">
              <w:r>
                <w:rPr>
                  <w:color w:val="2A78D6"/>
                  <w:vertAlign w:val="superscript"/>
                  <w:sz w:val="15"/>
                </w:rPr>
                <w:t xml:space="preserve">42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Met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Activity exclusion list</w:t>
            </w:r>
            <w:hyperlink r:id="rId43">
              <w:r>
                <w:rPr>
                  <w:color w:val="2A78D6"/>
                  <w:vertAlign w:val="superscript"/>
                  <w:sz w:val="15"/>
                </w:rPr>
                <w:t xml:space="preserve">33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Human rights and environmental criteria in the credit policy</w:t>
            </w:r>
            <w:hyperlink r:id="rId44">
              <w:r>
                <w:rPr>
                  <w:color w:val="2A78D6"/>
                  <w:vertAlign w:val="superscript"/>
                  <w:sz w:val="15"/>
                </w:rPr>
                <w:t xml:space="preserve">34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Human rights risk assessment</w:t>
            </w:r>
            <w:hyperlink r:id="rId52">
              <w:r>
                <w:rPr>
                  <w:color w:val="2A78D6"/>
                  <w:vertAlign w:val="superscript"/>
                  <w:sz w:val="15"/>
                </w:rPr>
                <w:t xml:space="preserve">43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Climate targets</w:t>
            </w:r>
            <w:hyperlink r:id="rId48">
              <w:r>
                <w:rPr>
                  <w:color w:val="2A78D6"/>
                  <w:vertAlign w:val="superscript"/>
                  <w:sz w:val="15"/>
                </w:rPr>
                <w:t xml:space="preserve">38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ESG policy</w:t>
            </w:r>
            <w:hyperlink r:id="rId43">
              <w:r>
                <w:rPr>
                  <w:color w:val="2A78D6"/>
                  <w:vertAlign w:val="superscript"/>
                  <w:sz w:val="15"/>
                </w:rPr>
                <w:t xml:space="preserve">33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Could be improved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Financed emissions (PCAF) are not disclosed as figures</w:t>
            </w:r>
            <w:hyperlink r:id="rId53">
              <w:r>
                <w:rPr>
                  <w:color w:val="2A78D6"/>
                  <w:vertAlign w:val="superscript"/>
                  <w:sz w:val="15"/>
                </w:rPr>
                <w:t xml:space="preserve">44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Engagement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9AA5B1"/>
                <w:sz w:val="24"/>
              </w:rPr>
              <w:t>☐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Is there a need for pro-active engagement with the company?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need: the bank is profitable, liquidity and MREL have headroom and ESG practice is in order.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Indicators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indicators of the company support the targets of sustainability and PAI indicators followed by the Fund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Own Scope 1 emissions 0 t CO2e, Scope 3 573,454 t CO2e in 2025</w:t>
            </w:r>
            <w:hyperlink r:id="rId54">
              <w:r>
                <w:rPr>
                  <w:color w:val="2A78D6"/>
                  <w:vertAlign w:val="superscript"/>
                  <w:sz w:val="15"/>
                </w:rPr>
                <w:t xml:space="preserve">45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Green asset ratio 4.86%</w:t>
            </w:r>
            <w:hyperlink r:id="rId50">
              <w:r>
                <w:rPr>
                  <w:color w:val="2A78D6"/>
                  <w:vertAlign w:val="superscript"/>
                  <w:sz w:val="15"/>
                </w:rPr>
                <w:t xml:space="preserve">41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Women on the Group management and supervisory boards 30%</w:t>
            </w:r>
            <w:hyperlink r:id="rId55">
              <w:r>
                <w:rPr>
                  <w:color w:val="2A78D6"/>
                  <w:vertAlign w:val="superscript"/>
                  <w:sz w:val="15"/>
                </w:rPr>
                <w:t xml:space="preserve">46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spacing w:before="120" w:after="40"/>
      </w:pPr>
      <w:r>
        <w:rPr>
          <w:b/>
          <w:sz w:val="19"/>
        </w:rPr>
        <w:t xml:space="preserve">Conclusion: </w:t>
      </w:r>
      <w:r>
        <w:rPr>
          <w:b w:val="0"/>
          <w:sz w:val="19"/>
        </w:rPr>
        <w:t>No exclusions or red flags. Sustainable products and clear climate targets; financed emissions are not yet disclosed as figures.</w:t>
      </w:r>
    </w:p>
    <w:p>
      <w:pPr>
        <w:spacing w:before="40" w:after="60"/>
      </w:pPr>
      <w:r>
        <w:rPr>
          <w:b w:val="0"/>
          <w:color w:val="667085"/>
          <w:sz w:val="16"/>
        </w:rPr>
        <w:t>SEB policies applied: Policy on Sustainability Considerations in Investments (SEB AB); Financial sector - no dedicated SEB sector policy (thematic policies applied); Environmental Policy on Climate, Nature and Water (thematic); Social and Human Rights Policy (thematic); Governance expectations in sector policies (anti-corruption, tax, reporting)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10</w:t>
        <w:tab/>
      </w:r>
      <w:r>
        <w:rPr>
          <w:b/>
          <w:color w:val="12355B"/>
          <w:sz w:val="28"/>
        </w:rPr>
        <w:t>Sources</w:t>
      </w:r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1.</w:t>
        <w:tab/>
      </w:r>
      <w:hyperlink r:id="rId12">
        <w:r>
          <w:rPr>
            <w:color w:val="2A78D6"/>
            <w:sz w:val="17"/>
          </w:rPr>
          <w:t xml:space="preserve">LHV Group - Credit rating,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2.</w:t>
        <w:tab/>
      </w:r>
      <w:hyperlink r:id="rId13">
        <w:r>
          <w:rPr>
            <w:color w:val="2A78D6"/>
            <w:sz w:val="17"/>
          </w:rPr>
          <w:t xml:space="preserve">LHV Group - Interim report January-September 2026, 2026-10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3.</w:t>
        <w:tab/>
      </w:r>
      <w:hyperlink r:id="rId14">
        <w:r>
          <w:rPr>
            <w:color w:val="2A78D6"/>
            <w:sz w:val="17"/>
          </w:rPr>
          <w:t xml:space="preserve">LHV Group - Interim report January-September 2026, p. 4, 6, 2026-10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4.</w:t>
        <w:tab/>
      </w:r>
      <w:hyperlink r:id="rId15">
        <w:r>
          <w:rPr>
            <w:color w:val="2A78D6"/>
            <w:sz w:val="17"/>
          </w:rPr>
          <w:t xml:space="preserve">LHV Group - Interim report January-September 2026, p. 10-11, 2026-10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5.</w:t>
        <w:tab/>
      </w:r>
      <w:hyperlink r:id="rId16">
        <w:r>
          <w:rPr>
            <w:color w:val="2A78D6"/>
            <w:sz w:val="17"/>
          </w:rPr>
          <w:t xml:space="preserve">LHV Group - Interim report January-September 2026, p. 6, 2026-10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6.</w:t>
        <w:tab/>
      </w:r>
      <w:hyperlink r:id="rId14">
        <w:r>
          <w:rPr>
            <w:color w:val="2A78D6"/>
            <w:sz w:val="17"/>
          </w:rPr>
          <w:t xml:space="preserve">LHV Group - Interim report January-September 2026, p. 4, 2026-10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7.</w:t>
        <w:tab/>
      </w:r>
      <w:hyperlink r:id="rId17">
        <w:r>
          <w:rPr>
            <w:color w:val="2A78D6"/>
            <w:sz w:val="17"/>
          </w:rPr>
          <w:t xml:space="preserve">LHV Group - Financial forecasts (financial plan 2026),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8.</w:t>
        <w:tab/>
      </w:r>
      <w:hyperlink r:id="rId15">
        <w:r>
          <w:rPr>
            <w:color w:val="2A78D6"/>
            <w:sz w:val="17"/>
          </w:rPr>
          <w:t xml:space="preserve">LHV Group - Interim report January-September 2026, p. 10, 2026-10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9.</w:t>
        <w:tab/>
      </w:r>
      <w:hyperlink r:id="rId16">
        <w:r>
          <w:rPr>
            <w:color w:val="2A78D6"/>
            <w:sz w:val="17"/>
          </w:rPr>
          <w:t xml:space="preserve">LHV Group - Interim report January-September 2026, p. 6, 19, 2026-10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10.</w:t>
        <w:tab/>
      </w:r>
      <w:hyperlink r:id="rId18">
        <w:r>
          <w:rPr>
            <w:color w:val="2A78D6"/>
            <w:sz w:val="17"/>
          </w:rPr>
          <w:t xml:space="preserve">LHV Group - Consolidated annual report 2025, p. 14,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11.</w:t>
        <w:tab/>
      </w:r>
      <w:hyperlink r:id="rId19">
        <w:r>
          <w:rPr>
            <w:color w:val="2A78D6"/>
            <w:sz w:val="17"/>
          </w:rPr>
          <w:t xml:space="preserve">LHV Group - Consolidated annual report 2025, p. 8,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12.</w:t>
        <w:tab/>
      </w:r>
      <w:hyperlink r:id="rId20">
        <w:r>
          <w:rPr>
            <w:color w:val="2A78D6"/>
            <w:sz w:val="17"/>
          </w:rPr>
          <w:t xml:space="preserve">LHV Group - Consolidated annual report 2025, p. 15,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13.</w:t>
        <w:tab/>
      </w:r>
      <w:hyperlink r:id="rId21">
        <w:r>
          <w:rPr>
            <w:color w:val="2A78D6"/>
            <w:sz w:val="17"/>
          </w:rPr>
          <w:t xml:space="preserve">LHV Group - Interim report January-September 2026, p. 19, 2026-10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14.</w:t>
        <w:tab/>
      </w:r>
      <w:hyperlink r:id="rId22">
        <w:r>
          <w:rPr>
            <w:color w:val="2A78D6"/>
            <w:sz w:val="17"/>
          </w:rPr>
          <w:t xml:space="preserve">LHV Group - Interim report January-September 2026, p. 11, 2026-10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15.</w:t>
        <w:tab/>
      </w:r>
      <w:hyperlink r:id="rId23">
        <w:r>
          <w:rPr>
            <w:color w:val="2A78D6"/>
            <w:sz w:val="17"/>
          </w:rPr>
          <w:t xml:space="preserve">LHV Group - Interim report January-September 2026, p. 2, 2026-10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16.</w:t>
        <w:tab/>
      </w:r>
      <w:hyperlink r:id="rId24">
        <w:r>
          <w:rPr>
            <w:color w:val="2A78D6"/>
            <w:sz w:val="17"/>
          </w:rPr>
          <w:t xml:space="preserve">LHV Group - Interim report January-September 2026, p. 12, 2026-10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17.</w:t>
        <w:tab/>
      </w:r>
      <w:hyperlink r:id="rId16">
        <w:r>
          <w:rPr>
            <w:color w:val="2A78D6"/>
            <w:sz w:val="17"/>
          </w:rPr>
          <w:t xml:space="preserve">LHV Group - Interim report January-September 2026, p. 6, 18, 2026-10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18.</w:t>
        <w:tab/>
      </w:r>
      <w:hyperlink r:id="rId26">
        <w:r>
          <w:rPr>
            <w:color w:val="2A78D6"/>
            <w:sz w:val="17"/>
          </w:rPr>
          <w:t xml:space="preserve">LHV Group - Interim report January-September 2026, p. 15, 2026-10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19.</w:t>
        <w:tab/>
      </w:r>
      <w:hyperlink r:id="rId19">
        <w:r>
          <w:rPr>
            <w:color w:val="2A78D6"/>
            <w:sz w:val="17"/>
          </w:rPr>
          <w:t xml:space="preserve">LHV Group - Consolidated annual report 2025, p. 8, 14-15,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20.</w:t>
        <w:tab/>
      </w:r>
      <w:hyperlink r:id="rId27">
        <w:r>
          <w:rPr>
            <w:color w:val="2A78D6"/>
            <w:sz w:val="17"/>
          </w:rPr>
          <w:t xml:space="preserve">LHV Group - Consolidated annual report 2025, p. 13,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21.</w:t>
        <w:tab/>
      </w:r>
      <w:hyperlink r:id="rId28">
        <w:r>
          <w:rPr>
            <w:color w:val="2A78D6"/>
            <w:sz w:val="17"/>
          </w:rPr>
          <w:t xml:space="preserve">LHV Group - Interim report January-September 2026, p. 20, 2026-10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22.</w:t>
        <w:tab/>
      </w:r>
      <w:hyperlink r:id="rId14">
        <w:r>
          <w:rPr>
            <w:color w:val="2A78D6"/>
            <w:sz w:val="17"/>
          </w:rPr>
          <w:t xml:space="preserve">LHV Group - Interim report January-September 2026, p. 4, 6, 18, 2026-10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23.</w:t>
        <w:tab/>
      </w:r>
      <w:hyperlink r:id="rId19">
        <w:r>
          <w:rPr>
            <w:color w:val="2A78D6"/>
            <w:sz w:val="17"/>
          </w:rPr>
          <w:t xml:space="preserve">LHV Group - Consolidated annual report 2025, p. 8, 14,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24.</w:t>
        <w:tab/>
      </w:r>
      <w:hyperlink r:id="rId29">
        <w:r>
          <w:rPr>
            <w:color w:val="2A78D6"/>
            <w:sz w:val="17"/>
          </w:rPr>
          <w:t xml:space="preserve">LHV Group - Consolidated annual report 2025, p. 7, 11,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25.</w:t>
        <w:tab/>
      </w:r>
      <w:hyperlink r:id="rId29">
        <w:r>
          <w:rPr>
            <w:color w:val="2A78D6"/>
            <w:sz w:val="17"/>
          </w:rPr>
          <w:t xml:space="preserve">LHV Group - Consolidated annual report 2025, p. 7,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26.</w:t>
        <w:tab/>
      </w:r>
      <w:hyperlink r:id="rId20">
        <w:r>
          <w:rPr>
            <w:color w:val="2A78D6"/>
            <w:sz w:val="17"/>
          </w:rPr>
          <w:t xml:space="preserve">LHV Group - Consolidated annual report 2025, p. 15, 18, 26-27,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27.</w:t>
        <w:tab/>
      </w:r>
      <w:hyperlink r:id="rId20">
        <w:r>
          <w:rPr>
            <w:color w:val="2A78D6"/>
            <w:sz w:val="17"/>
          </w:rPr>
          <w:t xml:space="preserve">LHV Group - Consolidated annual report 2025, p. 15, 18,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28.</w:t>
        <w:tab/>
      </w:r>
      <w:hyperlink r:id="rId30">
        <w:r>
          <w:rPr>
            <w:color w:val="2A78D6"/>
            <w:sz w:val="17"/>
          </w:rPr>
          <w:t xml:space="preserve">LHV Group - Consolidated annual report 2025, p. 17,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29.</w:t>
        <w:tab/>
      </w:r>
      <w:hyperlink r:id="rId31">
        <w:r>
          <w:rPr>
            <w:color w:val="2A78D6"/>
            <w:sz w:val="17"/>
          </w:rPr>
          <w:t xml:space="preserve">LHV Group - Senior bonds,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30.</w:t>
        <w:tab/>
      </w:r>
      <w:hyperlink r:id="rId32">
        <w:r>
          <w:rPr>
            <w:color w:val="2A78D6"/>
            <w:sz w:val="17"/>
          </w:rPr>
          <w:t xml:space="preserve">LHV Group - Subordinated bonds,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31.</w:t>
        <w:tab/>
      </w:r>
      <w:hyperlink r:id="rId33">
        <w:r>
          <w:rPr>
            <w:color w:val="2A78D6"/>
            <w:sz w:val="17"/>
          </w:rPr>
          <w:t xml:space="preserve">LHV Group - Interim report January-September 2026, p. 7, 2026-10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32.</w:t>
        <w:tab/>
      </w:r>
      <w:hyperlink r:id="rId34">
        <w:r>
          <w:rPr>
            <w:color w:val="2A78D6"/>
            <w:sz w:val="17"/>
          </w:rPr>
          <w:t xml:space="preserve">LHV Group - Interim report January-September 2026, p. 8, 2026-10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33.</w:t>
        <w:tab/>
      </w:r>
      <w:hyperlink r:id="rId43">
        <w:r>
          <w:rPr>
            <w:color w:val="2A78D6"/>
            <w:sz w:val="17"/>
          </w:rPr>
          <w:t xml:space="preserve">LHV - ESG,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34.</w:t>
        <w:tab/>
      </w:r>
      <w:hyperlink r:id="rId44">
        <w:r>
          <w:rPr>
            <w:color w:val="2A78D6"/>
            <w:sz w:val="17"/>
          </w:rPr>
          <w:t xml:space="preserve">LHV Group - Annual sustainability report 2025, p. 80,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35.</w:t>
        <w:tab/>
      </w:r>
      <w:hyperlink r:id="rId45">
        <w:r>
          <w:rPr>
            <w:color w:val="2A78D6"/>
            <w:sz w:val="17"/>
          </w:rPr>
          <w:t xml:space="preserve">OFAC Sanctions List Search (US Treasury)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36.</w:t>
        <w:tab/>
      </w:r>
      <w:hyperlink r:id="rId46">
        <w:r>
          <w:rPr>
            <w:color w:val="2A78D6"/>
            <w:sz w:val="17"/>
          </w:rPr>
          <w:t xml:space="preserve">EU Sanctions Map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37.</w:t>
        <w:tab/>
      </w:r>
      <w:hyperlink r:id="rId47">
        <w:r>
          <w:rPr>
            <w:color w:val="2A78D6"/>
            <w:sz w:val="17"/>
          </w:rPr>
          <w:t xml:space="preserve">ERR - LHV nõuab rahapesu andmebüroolt pangasaladuse asjas 247 miljonit, 2025-07-25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38.</w:t>
        <w:tab/>
      </w:r>
      <w:hyperlink r:id="rId48">
        <w:r>
          <w:rPr>
            <w:color w:val="2A78D6"/>
            <w:sz w:val="17"/>
          </w:rPr>
          <w:t xml:space="preserve">LHV Group - Annual sustainability report 2025, p. 97,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39.</w:t>
        <w:tab/>
      </w:r>
      <w:hyperlink r:id="rId49">
        <w:r>
          <w:rPr>
            <w:color w:val="2A78D6"/>
            <w:sz w:val="17"/>
          </w:rPr>
          <w:t xml:space="preserve">LHV Group - Annual sustainability report 2025, p. 81,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40.</w:t>
        <w:tab/>
      </w:r>
      <w:hyperlink r:id="rId44">
        <w:r>
          <w:rPr>
            <w:color w:val="2A78D6"/>
            <w:sz w:val="17"/>
          </w:rPr>
          <w:t xml:space="preserve">LHV Group - Annual sustainability report 2025, p. 80, 86,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41.</w:t>
        <w:tab/>
      </w:r>
      <w:hyperlink r:id="rId50">
        <w:r>
          <w:rPr>
            <w:color w:val="2A78D6"/>
            <w:sz w:val="17"/>
          </w:rPr>
          <w:t xml:space="preserve">LHV Group - Annual sustainability report 2025, p. 95,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42.</w:t>
        <w:tab/>
      </w:r>
      <w:hyperlink r:id="rId51">
        <w:r>
          <w:rPr>
            <w:color w:val="2A78D6"/>
            <w:sz w:val="17"/>
          </w:rPr>
          <w:t xml:space="preserve">SEB Policy on Sustainability Considerations in Investments (2026-04-15), p. 5, 7, 2026-04-15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43.</w:t>
        <w:tab/>
      </w:r>
      <w:hyperlink r:id="rId52">
        <w:r>
          <w:rPr>
            <w:color w:val="2A78D6"/>
            <w:sz w:val="17"/>
          </w:rPr>
          <w:t xml:space="preserve">LHV Group - Annual sustainability report 2025, p. 90,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44.</w:t>
        <w:tab/>
      </w:r>
      <w:hyperlink r:id="rId53">
        <w:r>
          <w:rPr>
            <w:color w:val="2A78D6"/>
            <w:sz w:val="17"/>
          </w:rPr>
          <w:t xml:space="preserve">LHV Group - Annual sustainability report 2025, p. 88,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45.</w:t>
        <w:tab/>
      </w:r>
      <w:hyperlink r:id="rId54">
        <w:r>
          <w:rPr>
            <w:color w:val="2A78D6"/>
            <w:sz w:val="17"/>
          </w:rPr>
          <w:t xml:space="preserve">LHV Group - Annual sustainability report 2025, p. 98,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46.</w:t>
        <w:tab/>
      </w:r>
      <w:hyperlink r:id="rId55">
        <w:r>
          <w:rPr>
            <w:color w:val="2A78D6"/>
            <w:sz w:val="17"/>
          </w:rPr>
          <w:t xml:space="preserve">LHV Group - Annual sustainability report 2025, p. 85, 2026</w:t>
        </w:r>
      </w:hyperlink>
    </w:p>
    <w:p>
      <w:pPr>
        <w:spacing w:before="40" w:after="60"/>
      </w:pPr>
      <w:r>
        <w:rPr>
          <w:b w:val="0"/>
          <w:color w:val="667085"/>
          <w:sz w:val="16"/>
        </w:rPr>
        <w:t>Report prepared from public sources. Figures are as published by the issuer; small numbers next to the text point to the source list.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20" w:right="1134" w:bottom="1020" w:left="1134" w:header="510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D5DCE4" w:space="4"/>
      </w:pBdr>
      <w:tabs>
        <w:tab w:pos="9638" w:val="right"/>
      </w:tabs>
    </w:pPr>
    <w:r>
      <w:rPr>
        <w:b w:val="0"/>
        <w:color w:val="667085"/>
        <w:sz w:val="16"/>
      </w:rPr>
      <w:t>LHV Group · 9M2026 · 2026-10-22</w:t>
      <w:tab/>
    </w:r>
    <w:r>
      <w:rPr>
        <w:b/>
        <w:color w:val="12355B"/>
        <w:sz w:val="16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D5DCE4" w:space="4"/>
      </w:pBdr>
      <w:tabs>
        <w:tab w:pos="9638" w:val="right"/>
      </w:tabs>
    </w:pPr>
    <w:r>
      <w:rPr>
        <w:b w:val="0"/>
        <w:color w:val="667085"/>
        <w:sz w:val="16"/>
      </w:rPr>
      <w:t>LHV Group · 9M2026 · 2026-10-22</w:t>
      <w:tab/>
    </w:r>
    <w:r>
      <w:rPr>
        <w:b/>
        <w:color w:val="12355B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4" w:color="D5DCE4" w:space="4"/>
      </w:pBdr>
      <w:tabs>
        <w:tab w:pos="9638" w:val="right"/>
      </w:tabs>
    </w:pPr>
    <w:r>
      <w:rPr>
        <w:b/>
        <w:color w:val="12355B"/>
        <w:sz w:val="16"/>
      </w:rPr>
      <w:t>LHV Group</w:t>
    </w:r>
    <w:r>
      <w:rPr>
        <w:b w:val="0"/>
        <w:color w:val="667085"/>
        <w:sz w:val="16"/>
      </w:rPr>
      <w:tab/>
      <w:t>Issuer review · 9M2026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color w:val="1B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investor.lhv.ee/en/credit-rating" TargetMode="External"/><Relationship Id="rId13" Type="http://schemas.openxmlformats.org/officeDocument/2006/relationships/hyperlink" Target="https://www.lhv.ee/assets/files/investor/LHV_Group_Interim_Report_2026-Q3_EN.pdf" TargetMode="External"/><Relationship Id="rId14" Type="http://schemas.openxmlformats.org/officeDocument/2006/relationships/hyperlink" Target="https://www.lhv.ee/assets/files/investor/LHV_Group_Interim_Report_2026-Q3_EN.pdf#page=4" TargetMode="External"/><Relationship Id="rId15" Type="http://schemas.openxmlformats.org/officeDocument/2006/relationships/hyperlink" Target="https://www.lhv.ee/assets/files/investor/LHV_Group_Interim_Report_2026-Q3_EN.pdf#page=10" TargetMode="External"/><Relationship Id="rId16" Type="http://schemas.openxmlformats.org/officeDocument/2006/relationships/hyperlink" Target="https://www.lhv.ee/assets/files/investor/LHV_Group_Interim_Report_2026-Q3_EN.pdf#page=6" TargetMode="External"/><Relationship Id="rId17" Type="http://schemas.openxmlformats.org/officeDocument/2006/relationships/hyperlink" Target="https://investor.lhv.ee/en/financial-forecasts" TargetMode="External"/><Relationship Id="rId18" Type="http://schemas.openxmlformats.org/officeDocument/2006/relationships/hyperlink" Target="https://www.lhv.ee/assets/files/investor/LHV_Group_Annual_Report_2025-EN.pdf#page=14" TargetMode="External"/><Relationship Id="rId19" Type="http://schemas.openxmlformats.org/officeDocument/2006/relationships/hyperlink" Target="https://www.lhv.ee/assets/files/investor/LHV_Group_Annual_Report_2025-EN.pdf#page=8" TargetMode="External"/><Relationship Id="rId20" Type="http://schemas.openxmlformats.org/officeDocument/2006/relationships/hyperlink" Target="https://www.lhv.ee/assets/files/investor/LHV_Group_Annual_Report_2025-EN.pdf#page=15" TargetMode="External"/><Relationship Id="rId21" Type="http://schemas.openxmlformats.org/officeDocument/2006/relationships/hyperlink" Target="https://www.lhv.ee/assets/files/investor/LHV_Group_Interim_Report_2026-Q3_EN.pdf#page=19" TargetMode="External"/><Relationship Id="rId22" Type="http://schemas.openxmlformats.org/officeDocument/2006/relationships/hyperlink" Target="https://www.lhv.ee/assets/files/investor/LHV_Group_Interim_Report_2026-Q3_EN.pdf#page=11" TargetMode="External"/><Relationship Id="rId23" Type="http://schemas.openxmlformats.org/officeDocument/2006/relationships/hyperlink" Target="https://www.lhv.ee/assets/files/investor/LHV_Group_Interim_Report_2026-Q3_EN.pdf#page=2" TargetMode="External"/><Relationship Id="rId24" Type="http://schemas.openxmlformats.org/officeDocument/2006/relationships/hyperlink" Target="https://www.lhv.ee/assets/files/investor/LHV_Group_Interim_Report_2026-Q3_EN.pdf#page=12" TargetMode="External"/><Relationship Id="rId25" Type="http://schemas.openxmlformats.org/officeDocument/2006/relationships/image" Target="media/image1.png"/><Relationship Id="rId26" Type="http://schemas.openxmlformats.org/officeDocument/2006/relationships/hyperlink" Target="https://www.lhv.ee/assets/files/investor/LHV_Group_Interim_Report_2026-Q3_EN.pdf#page=15" TargetMode="External"/><Relationship Id="rId27" Type="http://schemas.openxmlformats.org/officeDocument/2006/relationships/hyperlink" Target="https://www.lhv.ee/assets/files/investor/LHV_Group_Annual_Report_2025-EN.pdf#page=13" TargetMode="External"/><Relationship Id="rId28" Type="http://schemas.openxmlformats.org/officeDocument/2006/relationships/hyperlink" Target="https://www.lhv.ee/assets/files/investor/LHV_Group_Interim_Report_2026-Q3_EN.pdf#page=20" TargetMode="External"/><Relationship Id="rId29" Type="http://schemas.openxmlformats.org/officeDocument/2006/relationships/hyperlink" Target="https://www.lhv.ee/assets/files/investor/LHV_Group_Annual_Report_2025-EN.pdf#page=7" TargetMode="External"/><Relationship Id="rId30" Type="http://schemas.openxmlformats.org/officeDocument/2006/relationships/hyperlink" Target="https://www.lhv.ee/assets/files/investor/LHV_Group_Annual_Report_2025-EN.pdf#page=17" TargetMode="External"/><Relationship Id="rId31" Type="http://schemas.openxmlformats.org/officeDocument/2006/relationships/hyperlink" Target="https://investor.lhv.ee/en/senior-bonds" TargetMode="External"/><Relationship Id="rId32" Type="http://schemas.openxmlformats.org/officeDocument/2006/relationships/hyperlink" Target="https://investor.lhv.ee/en/subordinated-bonds" TargetMode="External"/><Relationship Id="rId33" Type="http://schemas.openxmlformats.org/officeDocument/2006/relationships/hyperlink" Target="https://www.lhv.ee/assets/files/investor/LHV_Group_Interim_Report_2026-Q3_EN.pdf#page=7" TargetMode="External"/><Relationship Id="rId34" Type="http://schemas.openxmlformats.org/officeDocument/2006/relationships/hyperlink" Target="https://www.lhv.ee/assets/files/investor/LHV_Group_Interim_Report_2026-Q3_EN.pdf#page=8" TargetMode="External"/><Relationship Id="rId35" Type="http://schemas.openxmlformats.org/officeDocument/2006/relationships/hyperlink" Target="https://news.google.com/rss/articles/CBMivwFBVV95cUxONm9VeVpXVHYxSXd2Wlh0andtUlRRZ2E2bGl2ZUFOMjdRR2xnVEJZUXpBdlNVSXZJOEV1TmkwMHRTZ2tmRUVoSkZlazlCTlFNUHRRbmVXZDBFalJjc09jaHFhYUNoRnk3VU80UzN0WTNxN1NYdGdDOGZrYlI1dmtXMzlzZ3lVUVViU3RwMVVKY0EybEZnYjNucy1iSkZRT3JyRlBPdDNMQ1FnMDQwUGgtNzB4OVhhWi0tbmp3cDlSaw?oc=5" TargetMode="External"/><Relationship Id="rId36" Type="http://schemas.openxmlformats.org/officeDocument/2006/relationships/hyperlink" Target="https://news.google.com/rss/articles/CBMivwFBVV95cUxOMmt4MWFpZTd3cVZPaXlnMW52VVJJTE53aXdZRHF5TGg5RUwxSkx3b1hhNlJManpZUjhra0lneWpvY0EwamZyelg5UkhVaEp0WGRHNGNsMWhRZFFlV1JwTVA2Sk9HLVZOaXY2S1kyVnF4R0dTcUE4dkk5VlQwcGtkZ3VrS3Bnd0pDUzBobThZaGJrYzFhZ1cwWmozWWtHczJOT19VekJFeUY4cVA5LVduYm5WNnZHbHJWLWlseENLWQ?oc=5" TargetMode="External"/><Relationship Id="rId37" Type="http://schemas.openxmlformats.org/officeDocument/2006/relationships/hyperlink" Target="https://news.google.com/rss/articles/CBMi4AFBVV95cUxQcjZ6aFlUblFvUGpOVUtHNTczb3EycnZWektmX1RxZnJVRWJDLUV0Y09XOGEzRXVyZDByaHVoOFcxNWZ0RFU2YkZScm56RmRuRk1qUnQ5U1ZuY0ZSdU8yU2lBRS02eUxnaGc3Q09TS0FxSENfcERkMGJ2eUlMRVA1dXR5QUhDRi1RRHJNTVl0R3djQUZsNkNkSENkbGhqYW9yeXBTY2poQWp5V3Bxa2QxSW9KT3M3MUJCQ1h2dTR6V2NYajl4Y0VTOUl3V042bjZfQVlXbF9kQkFiMHhWcFNOdw?oc=5" TargetMode="External"/><Relationship Id="rId38" Type="http://schemas.openxmlformats.org/officeDocument/2006/relationships/hyperlink" Target="https://news.google.com/rss/articles/CBMi5wFBVV95cUxNa1VObWFzdjl6MlgzVVQzN2UxUk9mcmRDNEhoRG9vTGI0UlBfSHpPcWhEN1RNcy1vVjloNnJXemdIWm8xN0JBZG1Tb0N1TFlSSTc3UnB2WWIzcWhZVlcyZ2d1VHBIZ3ZFcHNEVWNLbFZKWF9pTkozZTk1ZWVFMTNDSTNPNlJIYTh4Z0tfQjRyMmFRdDdabUJNbG9hb2dVS1Zjd1dWaEprdzdiNEVTX3U2ZDBkSEFidWdGS2VENjY1andCRHFuWlB4SUl6UXVTczg2U2d5MkJnZU56WWVjLTRZWm1KUmF3eUE?oc=5" TargetMode="External"/><Relationship Id="rId39" Type="http://schemas.openxmlformats.org/officeDocument/2006/relationships/hyperlink" Target="https://news.google.com/rss/articles/CBMiiAFBVV95cUxPbXZDSUZmbEdIaXFMbTlubzZuTTREaEE1cFpGYUR4dTVVeEpaY0x5OGZORnBOQ2VZMGt5OXp5NkM4SGFoZ0FNcmtUUEk3SjZpYm9SaFl3bTBYVXFaVV9lRUwtbXBkNVViOURNQ2RSWXFLblI4eGItSlBoVGlPcnJXaHVXYUlxVDBh?oc=5" TargetMode="External"/><Relationship Id="rId40" Type="http://schemas.openxmlformats.org/officeDocument/2006/relationships/hyperlink" Target="https://news.google.com/rss/articles/CBMivwFBVV95cUxOeUR2R2JZZ25DMmR2RWhxUW9DY3ZucXZUdkM5WWZwa3VaWHdjRHRvVHBkMGQzbmcwaUV4OGJVS3dNX1p3bEVWZEx3VzRyZ3F6alM3TWhDNDdsT1hEbUVvcFpiOVpIOGpYREhZV3UwOXJrNmsyTFVYaENObzZPWTdhRzE1U0x1ajRuYTVEMnR0VldRSkwzaUlBUGk4MDM2R1dWejYxR0pMZ2NzanJWT3NNUTdKRWVrb08zSkNiQndzMA?oc=5" TargetMode="External"/><Relationship Id="rId41" Type="http://schemas.openxmlformats.org/officeDocument/2006/relationships/hyperlink" Target="https://news.google.com/rss/articles/CBMiwwFBVV95cUxNWmVtZ2tNYXNISUQwNEVmUlh5bmRYdU5jMnRXQjdDcFFPaElxU2VuaDZMbklGMmJuTTNRM1F6LXNKSjNONkpkRlk2YjU3OXR2VlNlQS1MTlRyZjM0YmJGRFlYY0dYNmZfRWp4enJtT2FDUFVXdXRiR0FCTUFfaWpEaTlsQzBhWmpBOEhKSnJYWjFRWnpvY1N0OUZ3OVpNVHZyeFZGRVotVDctRzF6bVZVN0xYU0tmNjJLWkUyVnNka1FiSFE?oc=5" TargetMode="External"/><Relationship Id="rId42" Type="http://schemas.openxmlformats.org/officeDocument/2006/relationships/hyperlink" Target="https://news.google.com/rss/articles/CBMiiwFBVV95cUxNVS1KeHY5cWZFXzJ1M3R0dW55NzNQOFRfNzNpZG5oUWN6TG1qd1hGRURObUQ0U1dRRkVlbl9zNnU0cUZ6S21Oc0NqVUd3cUNEMzR2YjN6S29NSXEyeWxEQnRILWhoSnp5cmZhM2l2MGl0Q2NUWl9UVjMxMDBWZnlhaFVvdW9QelFLWXc0?oc=5" TargetMode="External"/><Relationship Id="rId43" Type="http://schemas.openxmlformats.org/officeDocument/2006/relationships/hyperlink" Target="https://www.lhv.ee/en/esg" TargetMode="External"/><Relationship Id="rId44" Type="http://schemas.openxmlformats.org/officeDocument/2006/relationships/hyperlink" Target="https://www.lhv.ee/assets/files/LHV_Group_Annual_Sustainability_Report_2025-EN.pdf#page=80" TargetMode="External"/><Relationship Id="rId45" Type="http://schemas.openxmlformats.org/officeDocument/2006/relationships/hyperlink" Target="https://sanctionssearch.ofac.treas.gov/" TargetMode="External"/><Relationship Id="rId46" Type="http://schemas.openxmlformats.org/officeDocument/2006/relationships/hyperlink" Target="https://www.sanctionsmap.eu/#/main" TargetMode="External"/><Relationship Id="rId47" Type="http://schemas.openxmlformats.org/officeDocument/2006/relationships/hyperlink" Target="https://www.err.ee/1609754001/lhv-nouab-rahapesu-andmeburoolt-pangasaladuse-asjas-247-miljonit" TargetMode="External"/><Relationship Id="rId48" Type="http://schemas.openxmlformats.org/officeDocument/2006/relationships/hyperlink" Target="https://www.lhv.ee/assets/files/LHV_Group_Annual_Sustainability_Report_2025-EN.pdf#page=97" TargetMode="External"/><Relationship Id="rId49" Type="http://schemas.openxmlformats.org/officeDocument/2006/relationships/hyperlink" Target="https://www.lhv.ee/assets/files/LHV_Group_Annual_Sustainability_Report_2025-EN.pdf#page=81" TargetMode="External"/><Relationship Id="rId50" Type="http://schemas.openxmlformats.org/officeDocument/2006/relationships/hyperlink" Target="https://www.lhv.ee/assets/files/LHV_Group_Annual_Sustainability_Report_2025-EN.pdf#page=95" TargetMode="External"/><Relationship Id="rId51" Type="http://schemas.openxmlformats.org/officeDocument/2006/relationships/hyperlink" Target="https://sebgroup.com/sustainability/our-sustainability-strategy/policies" TargetMode="External"/><Relationship Id="rId52" Type="http://schemas.openxmlformats.org/officeDocument/2006/relationships/hyperlink" Target="https://www.lhv.ee/assets/files/LHV_Group_Annual_Sustainability_Report_2025-EN.pdf#page=90" TargetMode="External"/><Relationship Id="rId53" Type="http://schemas.openxmlformats.org/officeDocument/2006/relationships/hyperlink" Target="https://www.lhv.ee/assets/files/LHV_Group_Annual_Sustainability_Report_2025-EN.pdf#page=88" TargetMode="External"/><Relationship Id="rId54" Type="http://schemas.openxmlformats.org/officeDocument/2006/relationships/hyperlink" Target="https://www.lhv.ee/assets/files/LHV_Group_Annual_Sustainability_Report_2025-EN.pdf#page=98" TargetMode="External"/><Relationship Id="rId55" Type="http://schemas.openxmlformats.org/officeDocument/2006/relationships/hyperlink" Target="https://www.lhv.ee/assets/files/LHV_Group_Annual_Sustainability_Report_2025-EN.pdf#page=8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