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b/>
          <w:color w:val="1F4E79"/>
          <w:sz w:val="48"/>
        </w:rPr>
        <w:t>LATRAPS</w:t>
      </w:r>
    </w:p>
    <w:p>
      <w:r>
        <w:rPr>
          <w:color w:val="5F6B7A"/>
          <w:sz w:val="24"/>
        </w:rPr>
        <w:t>Emitento apžvalga · FY2026</w:t>
      </w:r>
    </w:p>
    <w:p>
      <w:pPr>
        <w:spacing w:after="0"/>
      </w:pPr>
      <w:r>
        <w:rPr>
          <w:b/>
          <w:sz w:val="19"/>
        </w:rPr>
        <w:t xml:space="preserve">Analizės data: </w:t>
      </w:r>
      <w:r>
        <w:rPr>
          <w:b w:val="0"/>
          <w:sz w:val="19"/>
        </w:rPr>
        <w:t>2026-10-22</w:t>
      </w:r>
    </w:p>
    <w:p>
      <w:pPr>
        <w:spacing w:after="0"/>
      </w:pPr>
      <w:r>
        <w:rPr>
          <w:b/>
          <w:sz w:val="19"/>
        </w:rPr>
        <w:t xml:space="preserve">Reitingas: </w:t>
      </w:r>
      <w:r>
        <w:rPr>
          <w:b w:val="0"/>
          <w:sz w:val="19"/>
        </w:rPr>
        <w:t>nerasta (no credit rating found)</w:t>
      </w:r>
    </w:p>
    <w:p>
      <w:pPr>
        <w:spacing w:after="0"/>
      </w:pPr>
      <w:r>
        <w:rPr>
          <w:b/>
          <w:sz w:val="19"/>
        </w:rPr>
        <w:t xml:space="preserve">Kita ataskaita: </w:t>
      </w:r>
      <w:r>
        <w:rPr>
          <w:b w:val="0"/>
          <w:sz w:val="19"/>
        </w:rPr>
        <w:t>Audited annual report FY2025/26 - expected November 2026 (FY2024/25 report was signed 2025-11-24</w:t>
      </w:r>
      <w:hyperlink r:id="rId10">
        <w:r>
          <w:rPr>
            <w:color w:val="2A78D6"/>
            <w:vertAlign w:val="superscript"/>
            <w:sz w:val="16"/>
          </w:rPr>
          <w:t xml:space="preserve">1</w:t>
        </w:r>
      </w:hyperlink>
      <w:r>
        <w:rPr>
          <w:b w:val="0"/>
          <w:sz w:val="19"/>
        </w:rPr>
        <w:t>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638"/>
            <w:shd w:val="clear" w:color="auto" w:fill="E3F3E8"/>
          </w:tcPr>
          <w:p>
            <w:pPr>
              <w:spacing w:before="60" w:after="60"/>
            </w:pPr>
            <w:r>
              <w:rPr>
                <w:b/>
                <w:color w:val="1A1A1A"/>
                <w:sz w:val="21"/>
              </w:rPr>
              <w:t>Pozicija tvarkinga.</w:t>
            </w:r>
            <w:r>
              <w:rPr>
                <w:b w:val="0"/>
                <w:color w:val="1A1A1A"/>
                <w:sz w:val="21"/>
              </w:rPr>
              <w:t xml:space="preserve"> LATRAPS – 1 214 Latvijos ūkininkų kooperatyvas; 2025/26 m. pelnas 2,8 mln. EUR, abiejų obligacijų sąlygų laikomasi: koreguota kapitalo dalis 29,4 % (riba 20 %), EBITDA / palūkanos 2,7 karto (riba 2,0)</w:t>
            </w:r>
            <w:hyperlink r:id="rId11">
              <w:r>
                <w:rPr>
                  <w:color w:val="2A78D6"/>
                  <w:vertAlign w:val="superscript"/>
                  <w:sz w:val="17"/>
                </w:rPr>
                <w:t xml:space="preserve">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2">
              <w:r>
                <w:rPr>
                  <w:color w:val="2A78D6"/>
                  <w:vertAlign w:val="superscript"/>
                  <w:sz w:val="17"/>
                </w:rPr>
                <w:t xml:space="preserve">3</w:t>
              </w:r>
            </w:hyperlink>
            <w:r>
              <w:rPr>
                <w:b w:val="0"/>
                <w:color w:val="1A1A1A"/>
                <w:sz w:val="21"/>
              </w:rPr>
              <w:t>. Stebėtina: skola auga dėl 132 mln. EUR žirnių baltymų gamyklos</w:t>
            </w:r>
            <w:hyperlink r:id="rId13">
              <w:r>
                <w:rPr>
                  <w:color w:val="2A78D6"/>
                  <w:vertAlign w:val="superscript"/>
                  <w:sz w:val="17"/>
                </w:rPr>
                <w:t xml:space="preserve">4</w:t>
              </w:r>
            </w:hyperlink>
            <w:r>
              <w:rPr>
                <w:b w:val="0"/>
                <w:color w:val="1A1A1A"/>
                <w:sz w:val="21"/>
              </w:rPr>
              <w:t>.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FFFFFF"/>
          <w:left w:val="nil"/>
          <w:bottom w:val="single" w:sz="4" w:color="FFFFFF"/>
          <w:right w:val="nil"/>
          <w:insideH w:val="single" w:sz="4" w:color="FFFFFF"/>
          <w:insideV w:val="nil"/>
        </w:tblBorders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EAF1F8"/>
          </w:tcPr>
          <w:p>
            <w:r/>
            <w:r>
              <w:rPr>
                <w:color w:val="5F6B7A"/>
                <w:sz w:val="16"/>
              </w:rPr>
              <w:t>Pajamos (FY2026)</w:t>
            </w:r>
          </w:p>
          <w:p>
            <w:pPr>
              <w:spacing w:after="0"/>
            </w:pPr>
            <w:r>
              <w:rPr>
                <w:b/>
                <w:color w:val="1F4E79"/>
                <w:sz w:val="26"/>
              </w:rPr>
              <w:t>240,2 mln. EUR</w:t>
            </w:r>
          </w:p>
          <w:p>
            <w:r>
              <w:rPr>
                <w:color w:val="5F6B7A"/>
                <w:sz w:val="16"/>
              </w:rPr>
              <w:t>▼ 5,5 % vs FY2025</w:t>
            </w:r>
          </w:p>
        </w:tc>
        <w:tc>
          <w:tcPr>
            <w:tcW w:type="dxa" w:w="2493"/>
            <w:shd w:val="clear" w:color="auto" w:fill="EAF1F8"/>
          </w:tcPr>
          <w:p>
            <w:r/>
            <w:r>
              <w:rPr>
                <w:color w:val="5F6B7A"/>
                <w:sz w:val="16"/>
              </w:rPr>
              <w:t>Grynasis pelnas (FY2026)</w:t>
            </w:r>
          </w:p>
          <w:p>
            <w:pPr>
              <w:spacing w:after="0"/>
            </w:pPr>
            <w:r>
              <w:rPr>
                <w:b/>
                <w:color w:val="1F4E79"/>
                <w:sz w:val="26"/>
              </w:rPr>
              <w:t>2,77 mln. EUR</w:t>
            </w:r>
          </w:p>
          <w:p>
            <w:r>
              <w:rPr>
                <w:color w:val="5F6B7A"/>
                <w:sz w:val="16"/>
              </w:rPr>
              <w:t>▲ 1,1 % vs FY2025</w:t>
            </w:r>
          </w:p>
        </w:tc>
        <w:tc>
          <w:tcPr>
            <w:tcW w:type="dxa" w:w="2493"/>
            <w:shd w:val="clear" w:color="auto" w:fill="EAF1F8"/>
          </w:tcPr>
          <w:p>
            <w:r/>
            <w:r>
              <w:rPr>
                <w:color w:val="5F6B7A"/>
                <w:sz w:val="16"/>
              </w:rPr>
              <w:t>Nuosavo kapitalo dalis (FY2026)</w:t>
            </w:r>
          </w:p>
          <w:p>
            <w:pPr>
              <w:spacing w:after="0"/>
            </w:pPr>
            <w:r>
              <w:rPr>
                <w:b/>
                <w:color w:val="1F4E79"/>
                <w:sz w:val="26"/>
              </w:rPr>
              <w:t>29,4 %</w:t>
            </w:r>
          </w:p>
          <w:p>
            <w:r>
              <w:rPr>
                <w:color w:val="5F6B7A"/>
                <w:sz w:val="16"/>
              </w:rPr>
              <w:t>▼ 3,4 p. p. vs FY2025</w:t>
            </w:r>
          </w:p>
        </w:tc>
        <w:tc>
          <w:tcPr>
            <w:tcW w:type="dxa" w:w="2493"/>
            <w:shd w:val="clear" w:color="auto" w:fill="EAF1F8"/>
          </w:tcPr>
          <w:p>
            <w:r/>
            <w:r>
              <w:rPr>
                <w:color w:val="5F6B7A"/>
                <w:sz w:val="16"/>
              </w:rPr>
              <w:t>EBITDA / palūkanos (FY2026)</w:t>
            </w:r>
          </w:p>
          <w:p>
            <w:pPr>
              <w:spacing w:after="0"/>
            </w:pPr>
            <w:r>
              <w:rPr>
                <w:b/>
                <w:color w:val="1F4E79"/>
                <w:sz w:val="26"/>
              </w:rPr>
              <w:t>2,7x</w:t>
            </w:r>
          </w:p>
          <w:p>
            <w:r>
              <w:rPr>
                <w:color w:val="5F6B7A"/>
                <w:sz w:val="16"/>
              </w:rPr>
              <w:t>• 0x vs FY2025</w:t>
            </w:r>
          </w:p>
        </w:tc>
      </w:tr>
    </w:tbl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Trumpa santrauka</w:t>
      </w:r>
    </w:p>
    <w:p>
      <w:pPr>
        <w:pStyle w:val="ListBullet"/>
        <w:spacing w:after="60"/>
      </w:pPr>
      <w:r>
        <w:rPr>
          <w:b/>
        </w:rPr>
        <w:t>Laikotarpiai:</w:t>
      </w:r>
      <w:r>
        <w:rPr>
          <w:b w:val="0"/>
        </w:rPr>
        <w:t xml:space="preserve"> finansiniai metai – liepos 1 d.–birželio 30 d.; FY2026 = 2025-07–2026-06, 6M2026 = 2025-07–2025-12</w:t>
      </w:r>
      <w:hyperlink r:id="rId11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color w:val="2A78D6"/>
          <w:vertAlign w:val="superscript"/>
        </w:rPr>
        <w:t>,</w:t>
      </w:r>
      <w:hyperlink r:id="rId14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Pardavimai mažesni, pelnas stabilus:</w:t>
      </w:r>
      <w:r>
        <w:rPr>
          <w:b w:val="0"/>
        </w:rPr>
        <w:t xml:space="preserve"> pajamos 240,2 mln. EUR (254,3 mln.), pelnas 2,77 mln. EUR (2,74 mln.), tai 1,1 % apyvartos; grūdų kainos išliko žemos, dalis derliaus neatitiko maistinių reikalavimų dėl drėgno oro</w:t>
      </w:r>
      <w:hyperlink r:id="rId15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Sąlygų laikomasi:</w:t>
      </w:r>
      <w:r>
        <w:rPr>
          <w:b w:val="0"/>
        </w:rPr>
        <w:t xml:space="preserve"> koreguota kapitalo dalis 29,4 % (32,8 %), riba ≥20 %; koreguota EBITDA / palūkanos 2,7 karto (2,7), riba ≥2,0</w:t>
      </w:r>
      <w:hyperlink r:id="rId16">
        <w:r>
          <w:rPr>
            <w:color w:val="2A78D6"/>
            <w:vertAlign w:val="superscript"/>
            <w:sz w:val="17"/>
          </w:rPr>
          <w:t xml:space="preserve">8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Skola auga:</w:t>
      </w:r>
      <w:r>
        <w:rPr>
          <w:b w:val="0"/>
        </w:rPr>
        <w:t xml:space="preserve"> grynoji skola apie 62,4 mln. EUR (prieš metus 45,1 mln.; apskaičiuota įrankio), turtas 142,0 mln. EUR (121,4 mln.)</w:t>
      </w:r>
      <w:hyperlink r:id="rId17">
        <w:r>
          <w:rPr>
            <w:color w:val="2A78D6"/>
            <w:vertAlign w:val="superscript"/>
            <w:sz w:val="17"/>
          </w:rPr>
          <w:t xml:space="preserve">9</w:t>
        </w:r>
      </w:hyperlink>
      <w:r>
        <w:rPr>
          <w:b w:val="0"/>
        </w:rPr>
        <w:t>.</w:t>
      </w:r>
    </w:p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Turimos priemonės ir ISIN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C9D3DE"/>
          <w:left w:val="nil"/>
          <w:bottom w:val="single" w:sz="4" w:color="C9D3DE"/>
          <w:right w:val="nil"/>
          <w:insideH w:val="single" w:sz="4" w:color="C9D3DE"/>
          <w:insideV w:val="nil"/>
        </w:tblBorders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1701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ISIN</w:t>
            </w:r>
          </w:p>
        </w:tc>
        <w:tc>
          <w:tcPr>
            <w:tcW w:type="dxa" w:w="2608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Priemonė</w:t>
            </w:r>
          </w:p>
        </w:tc>
        <w:tc>
          <w:tcPr>
            <w:tcW w:type="dxa" w:w="964"/>
            <w:shd w:val="clear" w:color="auto" w:fill="1F4E79"/>
          </w:tcPr>
          <w:p>
            <w:pPr>
              <w:jc w:val="right"/>
            </w:pPr>
            <w:r/>
            <w:r>
              <w:rPr>
                <w:b/>
                <w:color w:val="FFFFFF"/>
                <w:sz w:val="17"/>
              </w:rPr>
              <w:t>Kuponas</w:t>
            </w:r>
          </w:p>
        </w:tc>
        <w:tc>
          <w:tcPr>
            <w:tcW w:type="dxa" w:w="1304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Išpirkimas</w:t>
            </w:r>
          </w:p>
        </w:tc>
        <w:tc>
          <w:tcPr>
            <w:tcW w:type="dxa" w:w="3061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Pastaba</w:t>
            </w:r>
          </w:p>
        </w:tc>
      </w:tr>
      <w:tr>
        <w:tc>
          <w:tcPr>
            <w:tcW w:type="dxa" w:w="1701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LV0000805349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LATRAPS 7.5% bond 2028 (First North)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7,5 %</w:t>
            </w:r>
          </w:p>
        </w:tc>
        <w:tc>
          <w:tcPr>
            <w:tcW w:type="dxa" w:w="1304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2028-12-12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Quarterly coupon; listed 2025-03-05</w:t>
            </w:r>
          </w:p>
        </w:tc>
      </w:tr>
    </w:tbl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Pagrindiniai rodikliai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C9D3DE"/>
          <w:left w:val="nil"/>
          <w:bottom w:val="single" w:sz="4" w:color="C9D3DE"/>
          <w:right w:val="nil"/>
          <w:insideH w:val="single" w:sz="4" w:color="C9D3DE"/>
          <w:insideV w:val="nil"/>
        </w:tblBorders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2948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Rodiklis</w:t>
            </w:r>
          </w:p>
        </w:tc>
        <w:tc>
          <w:tcPr>
            <w:tcW w:type="dxa" w:w="1191"/>
            <w:shd w:val="clear" w:color="auto" w:fill="1F4E79"/>
          </w:tcPr>
          <w:p>
            <w:pPr>
              <w:jc w:val="right"/>
            </w:pPr>
            <w:r/>
            <w:r>
              <w:rPr>
                <w:b/>
                <w:color w:val="FFFFFF"/>
                <w:sz w:val="17"/>
              </w:rPr>
              <w:t>6M2025</w:t>
            </w:r>
          </w:p>
        </w:tc>
        <w:tc>
          <w:tcPr>
            <w:tcW w:type="dxa" w:w="1191"/>
            <w:shd w:val="clear" w:color="auto" w:fill="1F4E79"/>
          </w:tcPr>
          <w:p>
            <w:pPr>
              <w:jc w:val="right"/>
            </w:pPr>
            <w:r/>
            <w:r>
              <w:rPr>
                <w:b/>
                <w:color w:val="FFFFFF"/>
                <w:sz w:val="17"/>
              </w:rPr>
              <w:t>FY2025</w:t>
            </w:r>
          </w:p>
        </w:tc>
        <w:tc>
          <w:tcPr>
            <w:tcW w:type="dxa" w:w="1191"/>
            <w:shd w:val="clear" w:color="auto" w:fill="1F4E79"/>
          </w:tcPr>
          <w:p>
            <w:pPr>
              <w:jc w:val="right"/>
            </w:pPr>
            <w:r/>
            <w:r>
              <w:rPr>
                <w:b/>
                <w:color w:val="FFFFFF"/>
                <w:sz w:val="17"/>
              </w:rPr>
              <w:t>6M2026</w:t>
            </w:r>
          </w:p>
        </w:tc>
        <w:tc>
          <w:tcPr>
            <w:tcW w:type="dxa" w:w="1191"/>
            <w:shd w:val="clear" w:color="auto" w:fill="1F4E79"/>
          </w:tcPr>
          <w:p>
            <w:pPr>
              <w:jc w:val="right"/>
            </w:pPr>
            <w:r/>
            <w:r>
              <w:rPr>
                <w:b/>
                <w:color w:val="FFFFFF"/>
                <w:sz w:val="17"/>
              </w:rPr>
              <w:t>FY2026</w:t>
            </w:r>
          </w:p>
        </w:tc>
        <w:tc>
          <w:tcPr>
            <w:tcW w:type="dxa" w:w="2211"/>
            <w:shd w:val="clear" w:color="auto" w:fill="1F4E79"/>
          </w:tcPr>
          <w:p>
            <w:pPr>
              <w:jc w:val="right"/>
            </w:pPr>
            <w:r/>
            <w:r>
              <w:rPr>
                <w:b/>
                <w:color w:val="FFFFFF"/>
                <w:sz w:val="17"/>
              </w:rPr>
              <w:t>Pokytis</w:t>
            </w:r>
          </w:p>
        </w:tc>
      </w:tr>
      <w:tr>
        <w:tc>
          <w:tcPr>
            <w:tcW w:type="dxa" w:w="294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Pajamos, mln. EUR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1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167,4*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254,3*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151,8*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240,2*</w:t>
            </w:r>
          </w:p>
        </w:tc>
        <w:tc>
          <w:tcPr>
            <w:tcW w:type="dxa" w:w="2211"/>
          </w:tcPr>
          <w:p>
            <w:pPr>
              <w:spacing w:after="0"/>
              <w:jc w:val="right"/>
            </w:pPr>
            <w:r/>
            <w:r>
              <w:rPr>
                <w:b/>
                <w:color w:val="B42318"/>
                <w:sz w:val="17"/>
              </w:rPr>
              <w:t>▼ 5,5 % vs FY2025</w:t>
            </w:r>
          </w:p>
        </w:tc>
      </w:tr>
      <w:tr>
        <w:tc>
          <w:tcPr>
            <w:tcW w:type="dxa" w:w="294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Grynasis pelnas, mln. EUR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1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4,13*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2,74*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4,55*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2,77*</w:t>
            </w:r>
          </w:p>
        </w:tc>
        <w:tc>
          <w:tcPr>
            <w:tcW w:type="dxa" w:w="221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/>
                <w:color w:val="1B7F3B"/>
                <w:sz w:val="17"/>
              </w:rPr>
              <w:t>▲ 1,1 % vs FY2025</w:t>
            </w:r>
          </w:p>
        </w:tc>
      </w:tr>
      <w:tr>
        <w:tc>
          <w:tcPr>
            <w:tcW w:type="dxa" w:w="294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Turtas, mln. EUR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105,1*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121,4*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119,6*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142,0*</w:t>
            </w:r>
          </w:p>
        </w:tc>
        <w:tc>
          <w:tcPr>
            <w:tcW w:type="dxa" w:w="2211"/>
          </w:tcPr>
          <w:p>
            <w:pPr>
              <w:spacing w:after="0"/>
              <w:jc w:val="right"/>
            </w:pPr>
            <w:r/>
            <w:r>
              <w:rPr>
                <w:b w:val="0"/>
                <w:color w:val="5F6B7A"/>
                <w:sz w:val="17"/>
              </w:rPr>
              <w:t>▲ 17,0 % vs FY2025</w:t>
            </w:r>
          </w:p>
        </w:tc>
      </w:tr>
      <w:tr>
        <w:tc>
          <w:tcPr>
            <w:tcW w:type="dxa" w:w="294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Nuosavas kapitalas, mln. EUR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2">
              <w:r>
                <w:rPr>
                  <w:color w:val="2A78D6"/>
                  <w:vertAlign w:val="superscript"/>
                  <w:sz w:val="14"/>
                </w:rPr>
                <w:t xml:space="preserve">15</w:t>
              </w:r>
            </w:hyperlink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35,8*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34,4*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38,5*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36,7*</w:t>
            </w:r>
          </w:p>
        </w:tc>
        <w:tc>
          <w:tcPr>
            <w:tcW w:type="dxa" w:w="221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/>
                <w:color w:val="1B7F3B"/>
                <w:sz w:val="17"/>
              </w:rPr>
              <w:t>▲ 6,7 % vs FY2025</w:t>
            </w:r>
          </w:p>
        </w:tc>
      </w:tr>
      <w:tr>
        <w:tc>
          <w:tcPr>
            <w:tcW w:type="dxa" w:w="294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Nuosavo kapitalo dalis</w:t>
            </w:r>
            <w:hyperlink r:id="rId23">
              <w:r>
                <w:rPr>
                  <w:color w:val="2A78D6"/>
                  <w:vertAlign w:val="superscript"/>
                  <w:sz w:val="14"/>
                </w:rPr>
                <w:t xml:space="preserve">16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39,8 %*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32,8 %*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37,1 %*</w:t>
            </w:r>
          </w:p>
        </w:tc>
        <w:tc>
          <w:tcPr>
            <w:tcW w:type="dxa" w:w="1191"/>
            <w:shd w:val="clear" w:color="auto" w:fill="FDE7E5"/>
          </w:tcPr>
          <w:p>
            <w:pPr>
              <w:spacing w:after="0"/>
              <w:jc w:val="right"/>
            </w:pPr>
            <w:r/>
            <w:r>
              <w:rPr>
                <w:b/>
                <w:sz w:val="17"/>
              </w:rPr>
              <w:t>29,4 %*</w:t>
            </w:r>
          </w:p>
        </w:tc>
        <w:tc>
          <w:tcPr>
            <w:tcW w:type="dxa" w:w="2211"/>
          </w:tcPr>
          <w:p>
            <w:pPr>
              <w:spacing w:after="0"/>
              <w:jc w:val="right"/>
            </w:pPr>
            <w:r/>
            <w:r>
              <w:rPr>
                <w:b/>
                <w:color w:val="B42318"/>
                <w:sz w:val="17"/>
              </w:rPr>
              <w:t>▼ 3,4 p. p. vs FY2025</w:t>
            </w:r>
          </w:p>
        </w:tc>
      </w:tr>
      <w:tr>
        <w:tc>
          <w:tcPr>
            <w:tcW w:type="dxa" w:w="294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EBITDA / palūkanos</w:t>
            </w:r>
            <w:hyperlink r:id="rId23">
              <w:r>
                <w:rPr>
                  <w:color w:val="2A78D6"/>
                  <w:vertAlign w:val="superscript"/>
                  <w:sz w:val="14"/>
                </w:rPr>
                <w:t xml:space="preserve">16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2,5x*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2,7x*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2,8x*</w:t>
            </w:r>
          </w:p>
        </w:tc>
        <w:tc>
          <w:tcPr>
            <w:tcW w:type="dxa" w:w="1191"/>
            <w:shd w:val="clear" w:color="auto" w:fill="FDF1D8"/>
          </w:tcPr>
          <w:p>
            <w:pPr>
              <w:spacing w:after="0"/>
              <w:jc w:val="right"/>
            </w:pPr>
            <w:r/>
            <w:r>
              <w:rPr>
                <w:b/>
                <w:sz w:val="17"/>
              </w:rPr>
              <w:t>2,7x*</w:t>
            </w:r>
          </w:p>
        </w:tc>
        <w:tc>
          <w:tcPr>
            <w:tcW w:type="dxa" w:w="221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color w:val="5F6B7A"/>
                <w:sz w:val="17"/>
              </w:rPr>
              <w:t>• 0x vs FY2025</w:t>
            </w:r>
          </w:p>
        </w:tc>
      </w:tr>
      <w:tr>
        <w:tc>
          <w:tcPr>
            <w:tcW w:type="dxa" w:w="294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Grynoji skola, mln. EUR</w:t>
            </w:r>
            <w:hyperlink r:id="rId24">
              <w:r>
                <w:rPr>
                  <w:color w:val="2A78D6"/>
                  <w:vertAlign w:val="superscript"/>
                  <w:sz w:val="14"/>
                </w:rPr>
                <w:t xml:space="preserve">17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2">
              <w:r>
                <w:rPr>
                  <w:color w:val="2A78D6"/>
                  <w:vertAlign w:val="superscript"/>
                  <w:sz w:val="14"/>
                </w:rPr>
                <w:t xml:space="preserve">15</w:t>
              </w:r>
            </w:hyperlink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45,1ᶜ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62,4ᶜ</w:t>
            </w:r>
          </w:p>
        </w:tc>
        <w:tc>
          <w:tcPr>
            <w:tcW w:type="dxa" w:w="2211"/>
          </w:tcPr>
          <w:p>
            <w:pPr>
              <w:spacing w:after="0"/>
              <w:jc w:val="right"/>
            </w:pPr>
            <w:r/>
            <w:r>
              <w:rPr>
                <w:b/>
                <w:color w:val="B42318"/>
                <w:sz w:val="17"/>
              </w:rPr>
              <w:t>▲ 38,4 % vs FY2025</w:t>
            </w:r>
          </w:p>
        </w:tc>
      </w:tr>
    </w:tbl>
    <w:p>
      <w:r>
        <w:rPr>
          <w:i/>
          <w:color w:val="5F6B7A"/>
          <w:sz w:val="16"/>
        </w:rPr>
        <w:t>Spalvos: žalias pokytis – rodiklis gerėja, raudonas – blogėja. Paskutinio laikotarpio langelio fonas: žalias – geras lygis, geltonas – vidutinis, raudonas – silpnas (įrankio orientyrai, config/metric_rules.yaml).</w:t>
      </w:r>
    </w:p>
    <w:p>
      <w:r>
        <w:rPr>
          <w:i/>
          <w:color w:val="5F6B7A"/>
          <w:sz w:val="16"/>
        </w:rPr>
        <w:t>* – paimta iš ataskaitos santraukos;  ᶜ – apskaičiuota įrankio. Mažas numeris prie teksto – nuoroda į šaltinį (paspaudus atsidaro dokumentas reikiamame puslapyje).</w:t>
      </w:r>
    </w:p>
    <w:p>
      <w:r>
        <w:drawing>
          <wp:inline xmlns:a="http://schemas.openxmlformats.org/drawingml/2006/main" xmlns:pic="http://schemas.openxmlformats.org/drawingml/2006/picture">
            <wp:extent cx="6120000" cy="22311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traps_lt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2311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Veiklos apžvalga</w:t>
      </w:r>
    </w:p>
    <w:p>
      <w:pPr>
        <w:pStyle w:val="ListBullet"/>
        <w:spacing w:after="60"/>
      </w:pPr>
      <w:r>
        <w:rPr>
          <w:b w:val="0"/>
        </w:rPr>
        <w:t>Kooperatyvas superka, sandėliuoja ir eksportuoja narių grūdus ir rapsus (beveik 30 šalių); sandėlių talpa beveik 220 000 t; valdo LATMALT (salyklas, 100 %)</w:t>
      </w:r>
      <w:hyperlink r:id="rId26">
        <w:r>
          <w:rPr>
            <w:color w:val="2A78D6"/>
            <w:vertAlign w:val="superscript"/>
            <w:sz w:val="17"/>
          </w:rPr>
          <w:t xml:space="preserve">18</w:t>
        </w:r>
      </w:hyperlink>
      <w:r>
        <w:rPr>
          <w:color w:val="2A78D6"/>
          <w:vertAlign w:val="superscript"/>
        </w:rPr>
        <w:t>,</w:t>
      </w:r>
      <w:hyperlink r:id="rId27">
        <w:r>
          <w:rPr>
            <w:color w:val="2A78D6"/>
            <w:vertAlign w:val="superscript"/>
            <w:sz w:val="17"/>
          </w:rPr>
          <w:t xml:space="preserve">19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 w:val="0"/>
        </w:rPr>
        <w:t>Jelgavoje statoma žirnių baltymų gamykla (ASNS Ingredient, 51,42 %): iki 70 000 t žirnių per metus, investicija 132 mln. EUR, pabaiga planuojama 2027 m. I pusm.</w:t>
      </w:r>
      <w:hyperlink r:id="rId26">
        <w:r>
          <w:rPr>
            <w:color w:val="2A78D6"/>
            <w:vertAlign w:val="superscript"/>
            <w:sz w:val="17"/>
          </w:rPr>
          <w:t xml:space="preserve">20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 w:val="0"/>
        </w:rPr>
        <w:t>2026-09 baigtos 4,2 mln. EUR investicijos į Jaunpagasto, Aizkrauklės ir Jēkabpilio sandėlius (ES lėšos); parduota Alpha Osta dalis</w:t>
      </w:r>
      <w:hyperlink r:id="rId28">
        <w:r>
          <w:rPr>
            <w:color w:val="2A78D6"/>
            <w:vertAlign w:val="superscript"/>
            <w:sz w:val="17"/>
          </w:rPr>
          <w:t xml:space="preserve">21</w:t>
        </w:r>
      </w:hyperlink>
      <w:r>
        <w:rPr>
          <w:b w:val="0"/>
        </w:rPr>
        <w:t>.</w:t>
      </w:r>
    </w:p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Finansai</w:t>
      </w:r>
    </w:p>
    <w:p>
      <w:pPr>
        <w:pStyle w:val="ListBullet"/>
        <w:spacing w:after="60"/>
      </w:pPr>
      <w:r>
        <w:rPr>
          <w:b w:val="0"/>
        </w:rPr>
        <w:t>Bendrasis pelnas 16,9 mln. EUR (17,6 mln.), palūkanų sąnaudos 2,86 mln. EUR (2,71 mln.)</w:t>
      </w:r>
      <w:hyperlink r:id="rId11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 Nuosavas kapitalas 36,7 mln. EUR (34,4 mln.)</w:t>
      </w:r>
      <w:hyperlink r:id="rId22">
        <w:r>
          <w:rPr>
            <w:color w:val="2A78D6"/>
            <w:vertAlign w:val="superscript"/>
            <w:sz w:val="17"/>
          </w:rPr>
          <w:t xml:space="preserve">15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 w:val="0"/>
        </w:rPr>
        <w:t>EBITDA atskirai neskelbiama; skelbiamas tik kovenanto rodiklis EBITDA / palūkanos</w:t>
      </w:r>
      <w:hyperlink r:id="rId16">
        <w:r>
          <w:rPr>
            <w:color w:val="2A78D6"/>
            <w:vertAlign w:val="superscript"/>
            <w:sz w:val="17"/>
          </w:rPr>
          <w:t xml:space="preserve">8</w:t>
        </w:r>
      </w:hyperlink>
      <w:r>
        <w:rPr>
          <w:b w:val="0"/>
        </w:rPr>
        <w:t>.</w:t>
      </w:r>
    </w:p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Ankstesni planai ir rezultatai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C9D3DE"/>
          <w:left w:val="nil"/>
          <w:bottom w:val="single" w:sz="4" w:color="C9D3DE"/>
          <w:right w:val="nil"/>
          <w:insideH w:val="single" w:sz="4" w:color="C9D3DE"/>
          <w:insideV w:val="nil"/>
        </w:tblBorders>
      </w:tblPr>
      <w:tblGrid>
        <w:gridCol w:w="2493"/>
        <w:gridCol w:w="2493"/>
        <w:gridCol w:w="2493"/>
        <w:gridCol w:w="2493"/>
      </w:tblGrid>
      <w:tr>
        <w:tc>
          <w:tcPr>
            <w:tcW w:type="dxa" w:w="2608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Planas / tikslas</w:t>
            </w:r>
          </w:p>
        </w:tc>
        <w:tc>
          <w:tcPr>
            <w:tcW w:type="dxa" w:w="2608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Rezultatas</w:t>
            </w:r>
          </w:p>
        </w:tc>
        <w:tc>
          <w:tcPr>
            <w:tcW w:type="dxa" w:w="3175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Kas pasikeitė ir kodėl</w:t>
            </w:r>
          </w:p>
        </w:tc>
        <w:tc>
          <w:tcPr>
            <w:tcW w:type="dxa" w:w="1361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Būsena</w:t>
            </w:r>
          </w:p>
        </w:tc>
      </w:tr>
      <w:tr>
        <w:tc>
          <w:tcPr>
            <w:tcW w:type="dxa" w:w="260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Žirnių baltymų gamykla Jelgavoje (132 mln. EUR) – pabaiga 2027 m. I pusm.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Statoma; terminas nepakeistas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Vykdoma pagal planą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61"/>
            <w:shd w:val="clear" w:color="auto" w:fill="EAF1F8"/>
          </w:tcPr>
          <w:p>
            <w:pPr>
              <w:spacing w:after="0"/>
            </w:pPr>
            <w:r/>
            <w:r>
              <w:rPr>
                <w:b/>
                <w:sz w:val="17"/>
              </w:rPr>
              <w:t>Dar vykdoma</w:t>
            </w:r>
          </w:p>
        </w:tc>
      </w:tr>
      <w:tr>
        <w:tc>
          <w:tcPr>
            <w:tcW w:type="dxa" w:w="260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Sandėlių investicijos (4,2 mln. EUR, ES lėšos)</w:t>
            </w:r>
          </w:p>
        </w:tc>
        <w:tc>
          <w:tcPr>
            <w:tcW w:type="dxa" w:w="260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Baigta 2026-09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3175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Įvykdyta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61"/>
            <w:shd w:val="clear" w:color="auto" w:fill="E3F3E8"/>
          </w:tcPr>
          <w:p>
            <w:pPr>
              <w:spacing w:after="0"/>
            </w:pPr>
            <w:r/>
            <w:r>
              <w:rPr>
                <w:b/>
                <w:sz w:val="17"/>
              </w:rPr>
              <w:t>Įvykdyta</w:t>
            </w:r>
          </w:p>
        </w:tc>
      </w:tr>
      <w:tr>
        <w:tc>
          <w:tcPr>
            <w:tcW w:type="dxa" w:w="260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Parduoti Alpha Osta dalį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Pardavimas užbaigtas</w:t>
            </w:r>
            <w:hyperlink r:id="rId29">
              <w:r>
                <w:rPr>
                  <w:color w:val="2A78D6"/>
                  <w:vertAlign w:val="superscript"/>
                  <w:sz w:val="14"/>
                </w:rPr>
                <w:t xml:space="preserve">22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8">
              <w:r>
                <w:rPr>
                  <w:color w:val="2A78D6"/>
                  <w:vertAlign w:val="superscript"/>
                  <w:sz w:val="14"/>
                </w:rPr>
                <w:t xml:space="preserve">23</w:t>
              </w:r>
            </w:hyperlink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Įvykdyta</w:t>
            </w:r>
            <w:hyperlink r:id="rId28">
              <w:r>
                <w:rPr>
                  <w:color w:val="2A78D6"/>
                  <w:vertAlign w:val="superscript"/>
                  <w:sz w:val="14"/>
                </w:rPr>
                <w:t xml:space="preserve">23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61"/>
            <w:shd w:val="clear" w:color="auto" w:fill="E3F3E8"/>
          </w:tcPr>
          <w:p>
            <w:pPr>
              <w:spacing w:after="0"/>
            </w:pPr>
            <w:r/>
            <w:r>
              <w:rPr>
                <w:b/>
                <w:sz w:val="17"/>
              </w:rPr>
              <w:t>Įvykdyta</w:t>
            </w:r>
          </w:p>
        </w:tc>
      </w:tr>
    </w:tbl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Informacija investuotojui ir išvados</w:t>
      </w:r>
    </w:p>
    <w:p>
      <w:pPr>
        <w:pStyle w:val="ListBullet"/>
        <w:spacing w:after="60"/>
      </w:pPr>
      <w:r>
        <w:rPr>
          <w:b/>
        </w:rPr>
        <w:t>Turima priemonė:</w:t>
      </w:r>
      <w:r>
        <w:rPr>
          <w:b w:val="0"/>
        </w:rPr>
        <w:t xml:space="preserve"> 7,5 % obligacija, 8 mln. EUR, išleista 2024-12, išpirkimas 2028-12-12, kuponas kas ketvirtį; Nasdaq Riga First North nuo 2025-03-05</w:t>
      </w:r>
      <w:hyperlink r:id="rId30">
        <w:r>
          <w:rPr>
            <w:color w:val="2A78D6"/>
            <w:vertAlign w:val="superscript"/>
            <w:sz w:val="17"/>
          </w:rPr>
          <w:t xml:space="preserve">24</w:t>
        </w:r>
      </w:hyperlink>
      <w:r>
        <w:rPr>
          <w:color w:val="2A78D6"/>
          <w:vertAlign w:val="superscript"/>
        </w:rPr>
        <w:t>,</w:t>
      </w:r>
      <w:hyperlink r:id="rId31">
        <w:r>
          <w:rPr>
            <w:color w:val="2A78D6"/>
            <w:vertAlign w:val="superscript"/>
            <w:sz w:val="17"/>
          </w:rPr>
          <w:t xml:space="preserve">25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Sąlygos:</w:t>
      </w:r>
      <w:r>
        <w:rPr>
          <w:b w:val="0"/>
        </w:rPr>
        <w:t xml:space="preserve"> koreguota kapitalo dalis ≥20 % (yra 29,4 %), koreguota EBITDA ≥2 kartų palūkanų (yra 2,7) – laikomasi</w:t>
      </w:r>
      <w:hyperlink r:id="rId16">
        <w:r>
          <w:rPr>
            <w:color w:val="2A78D6"/>
            <w:vertAlign w:val="superscript"/>
            <w:sz w:val="17"/>
          </w:rPr>
          <w:t xml:space="preserve">8</w:t>
        </w:r>
      </w:hyperlink>
      <w:r>
        <w:rPr>
          <w:b w:val="0"/>
        </w:rPr>
        <w:t>. Rezervas iki ribų sumažėjo per metus (kapitalo dalis 32,8 % → 29,4 %).</w:t>
      </w:r>
    </w:p>
    <w:p>
      <w:pPr>
        <w:pStyle w:val="ListBullet"/>
        <w:spacing w:after="60"/>
      </w:pPr>
      <w:r>
        <w:rPr>
          <w:b/>
        </w:rPr>
        <w:t>Eilė ir užtikrinimas:</w:t>
      </w:r>
      <w:r>
        <w:rPr>
          <w:b w:val="0"/>
        </w:rPr>
        <w:t xml:space="preserve"> obligacija sudaro mažą skolos dalį (8 iš ~63,5 mln. EUR); rangas ir užtikrinimas ataskaitose nerasti</w:t>
      </w:r>
      <w:hyperlink r:id="rId32">
        <w:r>
          <w:rPr>
            <w:color w:val="2A78D6"/>
            <w:vertAlign w:val="superscript"/>
            <w:sz w:val="17"/>
          </w:rPr>
          <w:t xml:space="preserve">26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Išvada:</w:t>
      </w:r>
      <w:r>
        <w:rPr>
          <w:b w:val="0"/>
        </w:rPr>
        <w:t xml:space="preserve"> vidutinė rizika – maža pelno marža ir auganti skola, bet sąlygų laikomasi ir pelnas stabilus.</w:t>
      </w:r>
    </w:p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ESG report</w:t>
      </w:r>
    </w:p>
    <w:p>
      <w:pPr>
        <w:spacing w:before="160"/>
      </w:pPr>
      <w:r>
        <w:rPr>
          <w:b/>
          <w:sz w:val="22"/>
        </w:rPr>
        <w:t>Exclusionary screening (companies)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company is not involved in excluded sectors: controversial and nuclear weapons, tobacco, gambling and restricted sectors in fossil fuel</w:t>
      </w:r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Grūdų ir rapsų prekyba bei perdirbimas ES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SEB žemės ūkio politikos apribotos veiklos (miškų kirtimas, nesertifikuotas palmių aliejus ar soja) nenustatytos</w:t>
      </w:r>
      <w:hyperlink r:id="rId33">
        <w:r>
          <w:rPr>
            <w:color w:val="2A78D6"/>
            <w:vertAlign w:val="superscript"/>
            <w:sz w:val="16"/>
          </w:rPr>
          <w:t xml:space="preserve">27</w:t>
        </w:r>
      </w:hyperlink>
      <w:r>
        <w:rPr>
          <w:color w:val="2A78D6"/>
          <w:vertAlign w:val="superscript"/>
        </w:rPr>
        <w:t>,</w:t>
      </w:r>
      <w:hyperlink r:id="rId34">
        <w:r>
          <w:rPr>
            <w:color w:val="2A78D6"/>
            <w:vertAlign w:val="superscript"/>
            <w:sz w:val="16"/>
          </w:rPr>
          <w:t xml:space="preserve">28</w:t>
        </w:r>
      </w:hyperlink>
      <w:r>
        <w:rPr>
          <w:b w:val="0"/>
          <w:color w:val="333333"/>
          <w:sz w:val="19"/>
        </w:rPr>
        <w:t>.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company does not have red flag/signal related to controversies based on UN Global Compact, OECD Guidelines for Multinational Enterprises or any other relevant principles/standards</w:t>
      </w:r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Baudų, pažeidimų ar skundų nėra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Korupcijos nuosprendžių nėra</w:t>
      </w:r>
      <w:hyperlink r:id="rId35">
        <w:r>
          <w:rPr>
            <w:color w:val="2A78D6"/>
            <w:vertAlign w:val="superscript"/>
            <w:sz w:val="16"/>
          </w:rPr>
          <w:t xml:space="preserve">29</w:t>
        </w:r>
      </w:hyperlink>
      <w:r>
        <w:rPr>
          <w:b w:val="0"/>
          <w:color w:val="333333"/>
          <w:sz w:val="19"/>
        </w:rPr>
        <w:t>.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company is not in the list of sanctions (add a screenshot)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Nerasta EU, UN, UK, US OFAC konsoliduotuose sankcijų sąrašuose (automatinė patikra 2026-10-22).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issues were not identified from adverse media checks (add a screenshot)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Neigiamų naujienų nerasta (2026-10-22).</w:t>
      </w:r>
    </w:p>
    <w:p>
      <w:r>
        <w:rPr>
          <w:i/>
          <w:sz w:val="19"/>
        </w:rPr>
        <w:t>In case any red flags, risks, unclarities were identified then additional checks (sanctions screening and adverse media checks) on the company’s Ultimate Beneficial Owners and/or senior management shall be performed.</w:t>
      </w:r>
    </w:p>
    <w:p>
      <w:pPr>
        <w:spacing w:before="80"/>
      </w:pPr>
      <w:r>
        <w:rPr>
          <w:b/>
        </w:rPr>
        <w:t xml:space="preserve">Additional comments: </w:t>
      </w:r>
    </w:p>
    <w:p>
      <w:pPr>
        <w:spacing w:before="160"/>
      </w:pPr>
      <w:r>
        <w:rPr>
          <w:b/>
          <w:sz w:val="22"/>
        </w:rPr>
        <w:t>ESG integration and positive screening (positive answers imply higher allocation)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company is promoting environmental or social characteristics (activities, ESG policy, good ESG rating, etc)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Žirnių baltymų gamykla – augalinių baltymų gamyba iš vietinių žaliavų</w:t>
      </w:r>
      <w:hyperlink r:id="rId13">
        <w:r>
          <w:rPr>
            <w:color w:val="2A78D6"/>
            <w:vertAlign w:val="superscript"/>
            <w:sz w:val="16"/>
          </w:rPr>
          <w:t xml:space="preserve">4</w:t>
        </w:r>
      </w:hyperlink>
      <w:r>
        <w:rPr>
          <w:b w:val="0"/>
          <w:color w:val="333333"/>
          <w:sz w:val="19"/>
        </w:rPr>
        <w:t>.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activities of the company or it’s strategy is aligned with the taxonomy and/or Paris agreement targets (e.g. net zero commitment)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Tikslai: atsinaujinančios energijos +50 % per penkerius metus, 10 elektromobilių per metus</w:t>
      </w:r>
      <w:hyperlink r:id="rId36">
        <w:r>
          <w:rPr>
            <w:color w:val="2A78D6"/>
            <w:vertAlign w:val="superscript"/>
            <w:sz w:val="16"/>
          </w:rPr>
          <w:t xml:space="preserve">30</w:t>
        </w:r>
      </w:hyperlink>
      <w:r>
        <w:rPr>
          <w:b w:val="0"/>
          <w:color w:val="333333"/>
          <w:sz w:val="19"/>
        </w:rPr>
        <w:t>.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company does not have yellow flag/signal related to controversies based on UN Global Compact or any other relevant principles/standards</w:t>
      </w:r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Raudonų signalų nėra.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Bendrovė nurodo, kad oficialaus klimato rizikos vertinimo dar neatliko</w:t>
      </w:r>
      <w:hyperlink r:id="rId37">
        <w:r>
          <w:rPr>
            <w:color w:val="2A78D6"/>
            <w:vertAlign w:val="superscript"/>
            <w:sz w:val="16"/>
          </w:rPr>
          <w:t xml:space="preserve">31</w:t>
        </w:r>
      </w:hyperlink>
      <w:r>
        <w:rPr>
          <w:b w:val="0"/>
          <w:color w:val="333333"/>
          <w:sz w:val="19"/>
        </w:rPr>
        <w:t>.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company fulfills the expectations from SEB thematic and sector policies</w:t>
      </w:r>
    </w:p>
    <w:p>
      <w:pPr>
        <w:spacing w:after="0"/>
        <w:ind w:left="397"/>
      </w:pPr>
      <w:r>
        <w:rPr>
          <w:b/>
          <w:color w:val="333333"/>
          <w:sz w:val="19"/>
        </w:rPr>
        <w:t>Taikoma</w:t>
      </w:r>
    </w:p>
    <w:p>
      <w:pPr>
        <w:spacing w:after="0"/>
        <w:ind w:left="737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Žemės ūkio politika</w:t>
      </w:r>
      <w:hyperlink r:id="rId34">
        <w:r>
          <w:rPr>
            <w:color w:val="2A78D6"/>
            <w:vertAlign w:val="superscript"/>
            <w:sz w:val="16"/>
          </w:rPr>
          <w:t xml:space="preserve">32</w:t>
        </w:r>
      </w:hyperlink>
      <w:r>
        <w:rPr>
          <w:b w:val="0"/>
          <w:color w:val="333333"/>
          <w:sz w:val="19"/>
        </w:rPr>
        <w:t>.</w:t>
      </w:r>
    </w:p>
    <w:p>
      <w:pPr>
        <w:spacing w:after="0"/>
        <w:ind w:left="397"/>
      </w:pPr>
      <w:r>
        <w:rPr>
          <w:b/>
          <w:color w:val="333333"/>
          <w:sz w:val="19"/>
        </w:rPr>
        <w:t>Atitinka</w:t>
      </w:r>
    </w:p>
    <w:p>
      <w:pPr>
        <w:spacing w:after="0"/>
        <w:ind w:left="737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Pirmoji tvarumo ataskaita pagal ESRS / VSME, pranešimų apie pažeidimus kanalas, nulinės nelaimingų atsitikimų darbe tikslas</w:t>
      </w:r>
      <w:hyperlink r:id="rId38">
        <w:r>
          <w:rPr>
            <w:color w:val="2A78D6"/>
            <w:vertAlign w:val="superscript"/>
            <w:sz w:val="16"/>
          </w:rPr>
          <w:t xml:space="preserve">33</w:t>
        </w:r>
      </w:hyperlink>
      <w:r>
        <w:rPr>
          <w:b w:val="0"/>
          <w:color w:val="333333"/>
          <w:sz w:val="19"/>
        </w:rPr>
        <w:t>.</w:t>
      </w:r>
    </w:p>
    <w:p>
      <w:pPr>
        <w:spacing w:after="0"/>
        <w:ind w:left="397"/>
      </w:pPr>
      <w:r>
        <w:rPr>
          <w:b/>
          <w:color w:val="333333"/>
          <w:sz w:val="19"/>
        </w:rPr>
        <w:t>Galėtų būti geriau</w:t>
      </w:r>
    </w:p>
    <w:p>
      <w:pPr>
        <w:spacing w:after="120"/>
        <w:ind w:left="737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Klimato rizikos vertinimas</w:t>
      </w:r>
      <w:hyperlink r:id="rId37">
        <w:r>
          <w:rPr>
            <w:color w:val="2A78D6"/>
            <w:vertAlign w:val="superscript"/>
            <w:sz w:val="16"/>
          </w:rPr>
          <w:t xml:space="preserve">31</w:t>
        </w:r>
      </w:hyperlink>
      <w:r>
        <w:rPr>
          <w:b w:val="0"/>
          <w:color w:val="333333"/>
          <w:sz w:val="19"/>
        </w:rPr>
        <w:t>.</w:t>
      </w:r>
    </w:p>
    <w:p>
      <w:pPr>
        <w:spacing w:before="80"/>
      </w:pPr>
      <w:r>
        <w:rPr>
          <w:b/>
        </w:rPr>
        <w:t xml:space="preserve">Additional comments: </w:t>
      </w:r>
    </w:p>
    <w:p>
      <w:pPr>
        <w:spacing w:before="160"/>
      </w:pPr>
      <w:r>
        <w:rPr>
          <w:b/>
          <w:sz w:val="22"/>
        </w:rPr>
        <w:t>Engagement</w:t>
      </w:r>
    </w:p>
    <w:p>
      <w:pPr>
        <w:spacing w:before="80" w:after="20"/>
      </w:pPr>
      <w:r>
        <w:rPr>
          <w:sz w:val="24"/>
        </w:rPr>
        <w:t xml:space="preserve">☐ </w:t>
      </w:r>
      <w:r>
        <w:t>Is there a need for pro-active engagement with the company?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Nereikia: tvarumo ataskaita pradėta skelbti, rimtų trūkumų nerasta.</w:t>
      </w:r>
    </w:p>
    <w:p>
      <w:pPr>
        <w:spacing w:before="80"/>
      </w:pPr>
      <w:r>
        <w:rPr>
          <w:b/>
        </w:rPr>
        <w:t xml:space="preserve">Additional comments: </w:t>
      </w:r>
    </w:p>
    <w:p>
      <w:pPr>
        <w:spacing w:before="160"/>
      </w:pPr>
      <w:r>
        <w:rPr>
          <w:b/>
          <w:sz w:val="22"/>
        </w:rPr>
        <w:t>Indicators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indicators of the company support the targets of sustainability and PAI indicators followed by the Fund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Skelbiamos 1 apimties CO2 emisijos ir darbuotojų skaičius (trejų metų duomenys)</w:t>
      </w:r>
      <w:hyperlink r:id="rId39">
        <w:r>
          <w:rPr>
            <w:color w:val="2A78D6"/>
            <w:vertAlign w:val="superscript"/>
            <w:sz w:val="16"/>
          </w:rPr>
          <w:t xml:space="preserve">34</w:t>
        </w:r>
      </w:hyperlink>
      <w:r>
        <w:rPr>
          <w:b w:val="0"/>
          <w:color w:val="333333"/>
          <w:sz w:val="19"/>
        </w:rPr>
        <w:t>.</w:t>
      </w:r>
    </w:p>
    <w:p>
      <w:pPr>
        <w:spacing w:before="80"/>
      </w:pPr>
      <w:r>
        <w:rPr>
          <w:b/>
        </w:rPr>
        <w:t xml:space="preserve">Additional comments: </w:t>
      </w:r>
    </w:p>
    <w:p>
      <w:pPr>
        <w:spacing w:before="80"/>
      </w:pPr>
      <w:r>
        <w:rPr>
          <w:b/>
        </w:rPr>
        <w:t xml:space="preserve">Conclusion: </w:t>
      </w:r>
      <w:r>
        <w:rPr>
          <w:b w:val="0"/>
        </w:rPr>
        <w:t>Išimčių ir raudonų signalų nėra. Pirmoji tvarumo ataskaita paskelbta; klimato rizikos vertinimas dar neatliktas.</w:t>
      </w:r>
    </w:p>
    <w:p>
      <w:r>
        <w:rPr>
          <w:i/>
          <w:color w:val="5F6B7A"/>
          <w:sz w:val="16"/>
        </w:rPr>
        <w:t>Taikytos SEB politikos: Policy on Sustainability Considerations in Investments (SEB AB); Agriculture, Fishing, Aquaculture and Animal Welfare sector policy; Environmental Policy on Climate, Nature and Water (thematic); Social and Human Rights Policy (thematic); Governance expectations in sector policies (anti-corruption, tax, reporting)</w:t>
      </w:r>
    </w:p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Šaltiniai</w:t>
      </w:r>
    </w:p>
    <w:p>
      <w:pPr>
        <w:spacing w:after="20"/>
        <w:ind w:left="340" w:hanging="340"/>
      </w:pPr>
      <w:r>
        <w:rPr>
          <w:sz w:val="17"/>
        </w:rPr>
        <w:t xml:space="preserve">1. </w:t>
      </w:r>
      <w:hyperlink r:id="rId10">
        <w:r>
          <w:rPr>
            <w:color w:val="2A78D6"/>
            <w:sz w:val="17"/>
          </w:rPr>
          <w:t xml:space="preserve">LATRAPS - Annual report FY2024/25 (audited, KPMG Baltics), p. 10, 2025-11-24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2. </w:t>
      </w:r>
      <w:hyperlink r:id="rId11">
        <w:r>
          <w:rPr>
            <w:color w:val="2A78D6"/>
            <w:sz w:val="17"/>
          </w:rPr>
          <w:t xml:space="preserve">LATRAPS - 12-month report FY2025/26 (unaudited, local GAAP), p. 12, 20, 2026-09-30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3. </w:t>
      </w:r>
      <w:hyperlink r:id="rId12">
        <w:r>
          <w:rPr>
            <w:color w:val="2A78D6"/>
            <w:sz w:val="17"/>
          </w:rPr>
          <w:t xml:space="preserve">LATRAPS - Sustainability report FY2025/26, p. 6, 2026-09-30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4. </w:t>
      </w:r>
      <w:hyperlink r:id="rId13">
        <w:r>
          <w:rPr>
            <w:color w:val="2A78D6"/>
            <w:sz w:val="17"/>
          </w:rPr>
          <w:t xml:space="preserve">LATRAPS - 12-month report FY2025/26 (unaudited, local GAAP), p. 7, 2026-09-30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5. </w:t>
      </w:r>
      <w:hyperlink r:id="rId11">
        <w:r>
          <w:rPr>
            <w:color w:val="2A78D6"/>
            <w:sz w:val="17"/>
          </w:rPr>
          <w:t xml:space="preserve">LATRAPS - 12-month report FY2025/26 (unaudited, local GAAP), p. 12, 2026-09-30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6. </w:t>
      </w:r>
      <w:hyperlink r:id="rId14">
        <w:r>
          <w:rPr>
            <w:color w:val="2A78D6"/>
            <w:sz w:val="17"/>
          </w:rPr>
          <w:t xml:space="preserve">LATRAPS - 6-month report H1 FY2025/26 (Jul-Dec 2025, unaudited), p. 12, 2026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7. </w:t>
      </w:r>
      <w:hyperlink r:id="rId15">
        <w:r>
          <w:rPr>
            <w:color w:val="2A78D6"/>
            <w:sz w:val="17"/>
          </w:rPr>
          <w:t xml:space="preserve">LATRAPS - 12-month report FY2025/26 (unaudited, local GAAP), p. 4-5, 7, 12, 2026-09-30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8. </w:t>
      </w:r>
      <w:hyperlink r:id="rId16">
        <w:r>
          <w:rPr>
            <w:color w:val="2A78D6"/>
            <w:sz w:val="17"/>
          </w:rPr>
          <w:t xml:space="preserve">LATRAPS - 12-month report FY2025/26 (unaudited, local GAAP), p. 20, 2026-09-30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9. </w:t>
      </w:r>
      <w:hyperlink r:id="rId17">
        <w:r>
          <w:rPr>
            <w:color w:val="2A78D6"/>
            <w:sz w:val="17"/>
          </w:rPr>
          <w:t xml:space="preserve">LATRAPS - 12-month report FY2025/26 (unaudited, local GAAP), p. 13-14, 18-19, 2026-09-30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10. </w:t>
      </w:r>
      <w:hyperlink r:id="rId18">
        <w:r>
          <w:rPr>
            <w:color w:val="2A78D6"/>
            <w:sz w:val="17"/>
          </w:rPr>
          <w:t xml:space="preserve">LATRAPS - Annual report FY2024/25 (audited, KPMG Baltics), p. 11, 2025-11-24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11. </w:t>
      </w:r>
      <w:hyperlink r:id="rId19">
        <w:r>
          <w:rPr>
            <w:color w:val="2A78D6"/>
            <w:sz w:val="17"/>
          </w:rPr>
          <w:t xml:space="preserve">LATRAPS - 6-month report H1 FY2025/26 (Jul-Dec 2025, unaudited), p. 13, 2026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12. </w:t>
      </w:r>
      <w:hyperlink r:id="rId20">
        <w:r>
          <w:rPr>
            <w:color w:val="2A78D6"/>
            <w:sz w:val="17"/>
          </w:rPr>
          <w:t xml:space="preserve">LATRAPS - Annual report FY2024/25 (audited, KPMG Baltics), p. 12, 2025-11-24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13. </w:t>
      </w:r>
      <w:hyperlink r:id="rId17">
        <w:r>
          <w:rPr>
            <w:color w:val="2A78D6"/>
            <w:sz w:val="17"/>
          </w:rPr>
          <w:t xml:space="preserve">LATRAPS - 12-month report FY2025/26 (unaudited, local GAAP), p. 13, 2026-09-30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14. </w:t>
      </w:r>
      <w:hyperlink r:id="rId21">
        <w:r>
          <w:rPr>
            <w:color w:val="2A78D6"/>
            <w:sz w:val="17"/>
          </w:rPr>
          <w:t xml:space="preserve">LATRAPS - 6-month report H1 FY2025/26 (Jul-Dec 2025, unaudited), p. 14, 2026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15. </w:t>
      </w:r>
      <w:hyperlink r:id="rId22">
        <w:r>
          <w:rPr>
            <w:color w:val="2A78D6"/>
            <w:sz w:val="17"/>
          </w:rPr>
          <w:t xml:space="preserve">LATRAPS - 12-month report FY2025/26 (unaudited, local GAAP), p. 14, 2026-09-30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16. </w:t>
      </w:r>
      <w:hyperlink r:id="rId23">
        <w:r>
          <w:rPr>
            <w:color w:val="2A78D6"/>
            <w:sz w:val="17"/>
          </w:rPr>
          <w:t xml:space="preserve">LATRAPS - 6-month report H1 FY2025/26 (Jul-Dec 2025, unaudited), p. 20, 2026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17. </w:t>
      </w:r>
      <w:hyperlink r:id="rId24">
        <w:r>
          <w:rPr>
            <w:color w:val="2A78D6"/>
            <w:sz w:val="17"/>
          </w:rPr>
          <w:t xml:space="preserve">LATRAPS - Annual report FY2024/25 (audited, KPMG Baltics), 2025-11-24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18. </w:t>
      </w:r>
      <w:hyperlink r:id="rId26">
        <w:r>
          <w:rPr>
            <w:color w:val="2A78D6"/>
            <w:sz w:val="17"/>
          </w:rPr>
          <w:t xml:space="preserve">LATRAPS - 12-month report FY2025/26 (unaudited, local GAAP), p. 1, 5, 2026-09-30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19. </w:t>
      </w:r>
      <w:hyperlink r:id="rId27">
        <w:r>
          <w:rPr>
            <w:color w:val="2A78D6"/>
            <w:sz w:val="17"/>
          </w:rPr>
          <w:t xml:space="preserve">LATRAPS - 6-month report H1 FY2025/26 (Jul-Dec 2025, unaudited), p. 8, 2026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20. </w:t>
      </w:r>
      <w:hyperlink r:id="rId26">
        <w:r>
          <w:rPr>
            <w:color w:val="2A78D6"/>
            <w:sz w:val="17"/>
          </w:rPr>
          <w:t xml:space="preserve">LATRAPS - 12-month report FY2025/26 (unaudited, local GAAP), p. 1, 7, 2026-09-30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21. </w:t>
      </w:r>
      <w:hyperlink r:id="rId28">
        <w:r>
          <w:rPr>
            <w:color w:val="2A78D6"/>
            <w:sz w:val="17"/>
          </w:rPr>
          <w:t xml:space="preserve">LATRAPS - 12-month report FY2025/26 (unaudited, local GAAP), p. 2, 7, 2026-09-30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22. </w:t>
      </w:r>
      <w:hyperlink r:id="rId29">
        <w:r>
          <w:rPr>
            <w:color w:val="2A78D6"/>
            <w:sz w:val="17"/>
          </w:rPr>
          <w:t xml:space="preserve">LATRAPS - Annual report FY2024/25 (audited, KPMG Baltics), p. 8, 2025-11-24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23. </w:t>
      </w:r>
      <w:hyperlink r:id="rId28">
        <w:r>
          <w:rPr>
            <w:color w:val="2A78D6"/>
            <w:sz w:val="17"/>
          </w:rPr>
          <w:t xml:space="preserve">LATRAPS - 12-month report FY2025/26 (unaudited, local GAAP), p. 2, 2026-09-30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24. </w:t>
      </w:r>
      <w:hyperlink r:id="rId30">
        <w:r>
          <w:rPr>
            <w:color w:val="2A78D6"/>
            <w:sz w:val="17"/>
          </w:rPr>
          <w:t xml:space="preserve">Nasdaq Baltic - LATRAPS 7.5% bond LV0000805349, 2026-10-22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25. </w:t>
      </w:r>
      <w:hyperlink r:id="rId31">
        <w:r>
          <w:rPr>
            <w:color w:val="2A78D6"/>
            <w:sz w:val="17"/>
          </w:rPr>
          <w:t xml:space="preserve">LATRAPS - 12-month report FY2025/26 (unaudited, local GAAP), p. 19, 2026-09-30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26. </w:t>
      </w:r>
      <w:hyperlink r:id="rId32">
        <w:r>
          <w:rPr>
            <w:color w:val="2A78D6"/>
            <w:sz w:val="17"/>
          </w:rPr>
          <w:t xml:space="preserve">LATRAPS - 12-month report FY2025/26 (unaudited, local GAAP), p. 18-19, 2026-09-30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27. </w:t>
      </w:r>
      <w:hyperlink r:id="rId33">
        <w:r>
          <w:rPr>
            <w:color w:val="2A78D6"/>
            <w:sz w:val="17"/>
          </w:rPr>
          <w:t xml:space="preserve">LATRAPS - 12-month report FY2025/26 (unaudited, local GAAP), p. 5, 2026-09-30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28. </w:t>
      </w:r>
      <w:hyperlink r:id="rId34">
        <w:r>
          <w:rPr>
            <w:color w:val="2A78D6"/>
            <w:sz w:val="17"/>
          </w:rPr>
          <w:t xml:space="preserve">SEB Agriculture, Fishing, Aquaculture and Animal Welfare sector policy (2026-04-23), p. 6-10, 2026-04-23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29. </w:t>
      </w:r>
      <w:hyperlink r:id="rId35">
        <w:r>
          <w:rPr>
            <w:color w:val="2A78D6"/>
            <w:sz w:val="17"/>
          </w:rPr>
          <w:t xml:space="preserve">LATRAPS - Sustainability report FY2025/26, p. 23, 37, 2026-09-30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30. </w:t>
      </w:r>
      <w:hyperlink r:id="rId36">
        <w:r>
          <w:rPr>
            <w:color w:val="2A78D6"/>
            <w:sz w:val="17"/>
          </w:rPr>
          <w:t xml:space="preserve">LATRAPS - Sustainability report FY2025/26, p. 19, 2026-09-30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31. </w:t>
      </w:r>
      <w:hyperlink r:id="rId37">
        <w:r>
          <w:rPr>
            <w:color w:val="2A78D6"/>
            <w:sz w:val="17"/>
          </w:rPr>
          <w:t xml:space="preserve">LATRAPS - Sustainability report FY2025/26, p. 18, 2026-09-30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32. </w:t>
      </w:r>
      <w:hyperlink r:id="rId34">
        <w:r>
          <w:rPr>
            <w:color w:val="2A78D6"/>
            <w:sz w:val="17"/>
          </w:rPr>
          <w:t xml:space="preserve">SEB Agriculture, Fishing, Aquaculture and Animal Welfare sector policy (2026-04-23), p. 5-10, 2026-04-23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33. </w:t>
      </w:r>
      <w:hyperlink r:id="rId38">
        <w:r>
          <w:rPr>
            <w:color w:val="2A78D6"/>
            <w:sz w:val="17"/>
          </w:rPr>
          <w:t xml:space="preserve">LATRAPS - Sustainability report FY2025/26, p. 3, 19, 36, 2026-09-30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34. </w:t>
      </w:r>
      <w:hyperlink r:id="rId39">
        <w:r>
          <w:rPr>
            <w:color w:val="2A78D6"/>
            <w:sz w:val="17"/>
          </w:rPr>
          <w:t xml:space="preserve">LATRAPS - Sustainability report FY2025/26, p. 22, 27, 2026-09-30</w:t>
        </w:r>
      </w:hyperlink>
    </w:p>
    <w:p>
      <w:r>
        <w:rPr>
          <w:i/>
          <w:color w:val="5F6B7A"/>
          <w:sz w:val="16"/>
        </w:rPr>
        <w:t>Ataskaita parengta automatiškai iš viešų šaltinių. Skaičiai pateikiami taip, kaip juos skelbia emitentas; nuorodos [S#] veda į šaltinių sąrašą. Prieš naudojant sprendimui, analitikas turi peržiūrėti pažymėtus punktus.</w:t>
      </w:r>
    </w:p>
    <w:sectPr w:rsidR="00FC693F" w:rsidRPr="0006063C" w:rsidSect="00034616">
      <w:footerReference w:type="default" r:id="rId9"/>
      <w:pgSz w:w="12240" w:h="15840"/>
      <w:pgMar w:top="907" w:right="1134" w:bottom="90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5F6B7A"/>
        <w:sz w:val="16"/>
      </w:rPr>
      <w:t xml:space="preserve">LATRAPS · FY2026 · 2026-10-22   ·  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Calibri" w:hAnsi="Calibri"/>
      <w:color w:val="1A1A1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yperlink" Target="https://nasdaqbaltic.com/market/upload/reports/latra/2025_ar_en_las.pdf#page=10" TargetMode="External"/><Relationship Id="rId11" Type="http://schemas.openxmlformats.org/officeDocument/2006/relationships/hyperlink" Target="https://nasdaqbaltic.com/market/upload/reports/latra/2026_q4_en_las.pdf#page=12" TargetMode="External"/><Relationship Id="rId12" Type="http://schemas.openxmlformats.org/officeDocument/2006/relationships/hyperlink" Target="https://nasdaqbaltic.com/market/upload/reports/latra/2026_esg_en.pdf#page=6" TargetMode="External"/><Relationship Id="rId13" Type="http://schemas.openxmlformats.org/officeDocument/2006/relationships/hyperlink" Target="https://nasdaqbaltic.com/market/upload/reports/latra/2026_q4_en_las.pdf#page=7" TargetMode="External"/><Relationship Id="rId14" Type="http://schemas.openxmlformats.org/officeDocument/2006/relationships/hyperlink" Target="https://nasdaqbaltic.com/market/upload/reports/latra/2026_q2_en_las.pdf#page=12" TargetMode="External"/><Relationship Id="rId15" Type="http://schemas.openxmlformats.org/officeDocument/2006/relationships/hyperlink" Target="https://nasdaqbaltic.com/market/upload/reports/latra/2026_q4_en_las.pdf#page=4" TargetMode="External"/><Relationship Id="rId16" Type="http://schemas.openxmlformats.org/officeDocument/2006/relationships/hyperlink" Target="https://nasdaqbaltic.com/market/upload/reports/latra/2026_q4_en_las.pdf#page=20" TargetMode="External"/><Relationship Id="rId17" Type="http://schemas.openxmlformats.org/officeDocument/2006/relationships/hyperlink" Target="https://nasdaqbaltic.com/market/upload/reports/latra/2026_q4_en_las.pdf#page=13" TargetMode="External"/><Relationship Id="rId18" Type="http://schemas.openxmlformats.org/officeDocument/2006/relationships/hyperlink" Target="https://nasdaqbaltic.com/market/upload/reports/latra/2025_ar_en_las.pdf#page=11" TargetMode="External"/><Relationship Id="rId19" Type="http://schemas.openxmlformats.org/officeDocument/2006/relationships/hyperlink" Target="https://nasdaqbaltic.com/market/upload/reports/latra/2026_q2_en_las.pdf#page=13" TargetMode="External"/><Relationship Id="rId20" Type="http://schemas.openxmlformats.org/officeDocument/2006/relationships/hyperlink" Target="https://nasdaqbaltic.com/market/upload/reports/latra/2025_ar_en_las.pdf#page=12" TargetMode="External"/><Relationship Id="rId21" Type="http://schemas.openxmlformats.org/officeDocument/2006/relationships/hyperlink" Target="https://nasdaqbaltic.com/market/upload/reports/latra/2026_q2_en_las.pdf#page=14" TargetMode="External"/><Relationship Id="rId22" Type="http://schemas.openxmlformats.org/officeDocument/2006/relationships/hyperlink" Target="https://nasdaqbaltic.com/market/upload/reports/latra/2026_q4_en_las.pdf#page=14" TargetMode="External"/><Relationship Id="rId23" Type="http://schemas.openxmlformats.org/officeDocument/2006/relationships/hyperlink" Target="https://nasdaqbaltic.com/market/upload/reports/latra/2026_q2_en_las.pdf#page=20" TargetMode="External"/><Relationship Id="rId24" Type="http://schemas.openxmlformats.org/officeDocument/2006/relationships/hyperlink" Target="https://nasdaqbaltic.com/market/upload/reports/latra/2025_ar_en_las.pdf" TargetMode="External"/><Relationship Id="rId25" Type="http://schemas.openxmlformats.org/officeDocument/2006/relationships/image" Target="media/image1.png"/><Relationship Id="rId26" Type="http://schemas.openxmlformats.org/officeDocument/2006/relationships/hyperlink" Target="https://nasdaqbaltic.com/market/upload/reports/latra/2026_q4_en_las.pdf#page=1" TargetMode="External"/><Relationship Id="rId27" Type="http://schemas.openxmlformats.org/officeDocument/2006/relationships/hyperlink" Target="https://nasdaqbaltic.com/market/upload/reports/latra/2026_q2_en_las.pdf#page=8" TargetMode="External"/><Relationship Id="rId28" Type="http://schemas.openxmlformats.org/officeDocument/2006/relationships/hyperlink" Target="https://nasdaqbaltic.com/market/upload/reports/latra/2026_q4_en_las.pdf#page=2" TargetMode="External"/><Relationship Id="rId29" Type="http://schemas.openxmlformats.org/officeDocument/2006/relationships/hyperlink" Target="https://nasdaqbaltic.com/market/upload/reports/latra/2025_ar_en_las.pdf#page=8" TargetMode="External"/><Relationship Id="rId30" Type="http://schemas.openxmlformats.org/officeDocument/2006/relationships/hyperlink" Target="https://nasdaqbaltic.com/statistics/en/instrument/LV0000805349/security?date=2026-10-22" TargetMode="External"/><Relationship Id="rId31" Type="http://schemas.openxmlformats.org/officeDocument/2006/relationships/hyperlink" Target="https://nasdaqbaltic.com/market/upload/reports/latra/2026_q4_en_las.pdf#page=19" TargetMode="External"/><Relationship Id="rId32" Type="http://schemas.openxmlformats.org/officeDocument/2006/relationships/hyperlink" Target="https://nasdaqbaltic.com/market/upload/reports/latra/2026_q4_en_las.pdf#page=18" TargetMode="External"/><Relationship Id="rId33" Type="http://schemas.openxmlformats.org/officeDocument/2006/relationships/hyperlink" Target="https://nasdaqbaltic.com/market/upload/reports/latra/2026_q4_en_las.pdf#page=5" TargetMode="External"/><Relationship Id="rId34" Type="http://schemas.openxmlformats.org/officeDocument/2006/relationships/hyperlink" Target="https://sebgroup.com/sustainability/our-sustainability-strategy/policies" TargetMode="External"/><Relationship Id="rId35" Type="http://schemas.openxmlformats.org/officeDocument/2006/relationships/hyperlink" Target="https://nasdaqbaltic.com/market/upload/reports/latra/2026_esg_en.pdf#page=23" TargetMode="External"/><Relationship Id="rId36" Type="http://schemas.openxmlformats.org/officeDocument/2006/relationships/hyperlink" Target="https://nasdaqbaltic.com/market/upload/reports/latra/2026_esg_en.pdf#page=19" TargetMode="External"/><Relationship Id="rId37" Type="http://schemas.openxmlformats.org/officeDocument/2006/relationships/hyperlink" Target="https://nasdaqbaltic.com/market/upload/reports/latra/2026_esg_en.pdf#page=18" TargetMode="External"/><Relationship Id="rId38" Type="http://schemas.openxmlformats.org/officeDocument/2006/relationships/hyperlink" Target="https://nasdaqbaltic.com/market/upload/reports/latra/2026_esg_en.pdf#page=3" TargetMode="External"/><Relationship Id="rId39" Type="http://schemas.openxmlformats.org/officeDocument/2006/relationships/hyperlink" Target="https://nasdaqbaltic.com/market/upload/reports/latra/2026_esg_en.pdf#page=2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