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Worth watching.</w:t>
            </w:r>
            <w:r>
              <w:rPr>
                <w:b w:val="0"/>
                <w:color w:val="1A1A1A"/>
                <w:sz w:val="21"/>
              </w:rPr>
              <w:t xml:space="preserve"> The balance sheet is strong (net debt 2.78x EBITDA, equity 59.8% of assets)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But 6M 2026 net profit fell 41.7% on higher fuel and repair costs,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43.5%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in the 2026-08 outlook; nothing to compare yet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bribery case from 2015 concerns former executives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in the automatic news scan (Estonian and English media, last 30 days,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Older coverage concerns the former executives'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Climate-neutral operations by 2050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−55% by 2030 versus 2019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Progress: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current yellow flag.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former executives' case is historical (from 2015) and the company is the injured party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and the Shipping policy, because the ferry segment is 31.4% of 6M 2026 revenue, above the 15% threshold (calculated by the tool)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Transportation policy does not apply (road, rail and air only)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governance or international-norm breach by the company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Annual sustainability report with climate data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by 2050 and a plan to move ferries to alternative fuels or electrification, in line with SEB's decarbonisation-plan expectation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Liquid bulk (oil products) handling is declining, −33.8% in 6M 2026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Public reports do not describe shipping-specific items (ship energy efficiency plans, CII ratings, ship recycling)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or human rights due diligence, whistleblowing and anti-corruption policies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−55% by 2030 and climate neutrality by 2050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Clear climate targets with good progress (−41.8% versus 2019). Shipping-specific disclosures could be more detailed.</w:t>
      </w:r>
    </w:p>
    <w:p>
      <w:r>
        <w:rPr>
          <w:i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