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Rīgas ūdens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A3, stable outlook (affirmed 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- 2026-11-27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 water utility owned by the City of Riga and rated A3 by Moody's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19.7m (+25%), net debt / EBITDA 2.6x, equity ratio 71%, loan covenants met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19.7 EUR m</w:t>
            </w:r>
          </w:p>
          <w:p>
            <w:r>
              <w:rPr>
                <w:color w:val="5F6B7A"/>
                <w:sz w:val="16"/>
              </w:rPr>
              <w:t>▲ 25.5 %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89.9 EUR m</w:t>
            </w:r>
          </w:p>
          <w:p>
            <w:r>
              <w:rPr>
                <w:color w:val="5F6B7A"/>
                <w:sz w:val="16"/>
              </w:rPr>
              <w:t>▲ 42.2 %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2.6x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71.0%</w:t>
            </w:r>
          </w:p>
          <w:p>
            <w:r>
              <w:rPr>
                <w:color w:val="5F6B7A"/>
                <w:sz w:val="16"/>
              </w:rPr>
              <w:t>▼ 1.4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2.6x*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71.0%*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Debt service coverage (DSCR)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3.9x*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17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On 2026-03-25 the Riga City Council decided to keep its direct shareholding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80.3m, EBITDA EUR 31.0m, profit EUR 0.6m; the 2024 loss of EUR 18.3m was due to asset revaluation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536.3m, total assets EUR 755.3m</w:t>
      </w:r>
      <w:hyperlink r:id="rId12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30.88% used by mid-2026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the 2025 issue was 228% oversubscribed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3.9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18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Water supply and wastewater treatment: no activity in excluded sectors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or environmental fines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Treatment plant overload 0.34% (limit 2%)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Following odour complaints in the Vārnukrogs area, a sludge store was covered in December 2025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 under the EU standard, proceeds for wastewater treatment (94%) and solar PV (5%)</w:t>
      </w:r>
      <w:hyperlink r:id="rId18">
        <w:r>
          <w:rPr>
            <w:color w:val="2A78D6"/>
            <w:vertAlign w:val="superscript"/>
            <w:sz w:val="16"/>
          </w:rPr>
          <w:t xml:space="preserve">14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PFAS treatment pilot</w:t>
      </w:r>
      <w:hyperlink r:id="rId20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100% of bond proceeds allocated to EU taxonomy-aligned projects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itself names impact areas: GHG leakage, treatment during heavy rain, micropollutants, water losses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2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 and the Environmental policy on climate, nature and water</w:t>
      </w:r>
      <w:hyperlink r:id="rId23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Green Bond Standard with external review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Wastewater treatment within limits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Material impacts disclosed</w:t>
      </w:r>
      <w:hyperlink r:id="rId21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regulated municipal company with a green investment programme.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Treatment plant overload 0.34%</w:t>
      </w:r>
      <w:hyperlink r:id="rId19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100% of bond proceeds to taxonomy-aligned projects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Renovate 90 km of water mains and 55 km of sewers by 2030</w:t>
      </w:r>
      <w:hyperlink r:id="rId24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EU-standard green bond financing wastewater treatment investment.</w:t>
      </w:r>
    </w:p>
    <w:p>
      <w:r>
        <w:rPr>
          <w:i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0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2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3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8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0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9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0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1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3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4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Rīgas ūdens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h2o/2026_q2_en.pdf#page=5" TargetMode="External"/><Relationship Id="rId11" Type="http://schemas.openxmlformats.org/officeDocument/2006/relationships/hyperlink" Target="https://nasdaqbaltic.com/market/upload/reports/h2o/2026_q2_en.pdf#page=17" TargetMode="External"/><Relationship Id="rId12" Type="http://schemas.openxmlformats.org/officeDocument/2006/relationships/hyperlink" Target="https://nasdaqbaltic.com/market/upload/reports/h2o/2026_q2_en.pdf#page=18" TargetMode="External"/><Relationship Id="rId13" Type="http://schemas.openxmlformats.org/officeDocument/2006/relationships/hyperlink" Target="https://nasdaqbaltic.com/market/upload/reports/h2o/2026_q2_en.pdf#page=12" TargetMode="External"/><Relationship Id="rId14" Type="http://schemas.openxmlformats.org/officeDocument/2006/relationships/hyperlink" Target="https://nasdaqbaltic.com/market/upload/reports/h2o/2025_ar_en.pdf#page=28" TargetMode="External"/><Relationship Id="rId15" Type="http://schemas.openxmlformats.org/officeDocument/2006/relationships/hyperlink" Target="https://nasdaqbaltic.com/market/upload/reports/h2o/2025_ar_en.pdf#page=17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nasdaqbaltic.com/market/upload/reports/h2o/2026_q2_en.pdf#page=10" TargetMode="External"/><Relationship Id="rId18" Type="http://schemas.openxmlformats.org/officeDocument/2006/relationships/hyperlink" Target="https://nasdaqbaltic.com/market/upload/reports/h2o/2025_ar_en.pdf#page=20" TargetMode="External"/><Relationship Id="rId19" Type="http://schemas.openxmlformats.org/officeDocument/2006/relationships/hyperlink" Target="https://nasdaqbaltic.com/market/upload/reports/h2o/2026_q2_en.pdf#page=15" TargetMode="External"/><Relationship Id="rId20" Type="http://schemas.openxmlformats.org/officeDocument/2006/relationships/hyperlink" Target="https://nasdaqbaltic.com/market/upload/reports/h2o/2025_ar_en.pdf#page=5" TargetMode="External"/><Relationship Id="rId21" Type="http://schemas.openxmlformats.org/officeDocument/2006/relationships/hyperlink" Target="https://nasdaqbaltic.com/market/upload/reports/h2o/2025_ar_en.pdf#page=48" TargetMode="External"/><Relationship Id="rId22" Type="http://schemas.openxmlformats.org/officeDocument/2006/relationships/hyperlink" Target="https://sebgroup.com/sustainability/our-sustainability-strategy/policies" TargetMode="External"/><Relationship Id="rId23" Type="http://schemas.openxmlformats.org/officeDocument/2006/relationships/hyperlink" Target="https://webapp.sebgroup.com/mb/mblib.nsf/dld/CBAA255D7EC51026C1257C28002FB11A?opendocument" TargetMode="External"/><Relationship Id="rId24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