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Atsinaujinančios energetikos investicijos (AEI)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 in the reports)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Sąlygų (kovenantų) 2026-06-30 laikomasi, nuosavo kapitalo dalis 54,5 % (riba – 50 %)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-5,13 mln. EUR</w:t>
            </w:r>
          </w:p>
          <w:p>
            <w:r>
              <w:rPr>
                <w:color w:val="5F6B7A"/>
                <w:sz w:val="16"/>
              </w:rPr>
              <w:t>▼ 26,4 %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54,5 %</w:t>
            </w:r>
          </w:p>
          <w:p>
            <w:r>
              <w:rPr>
                <w:color w:val="5F6B7A"/>
                <w:sz w:val="16"/>
              </w:rPr>
              <w:t>▲ 3,7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63,5 mln. EUR</w:t>
            </w:r>
          </w:p>
          <w:p>
            <w:r>
              <w:rPr>
                <w:color w:val="5F6B7A"/>
                <w:sz w:val="16"/>
              </w:rPr>
              <w:t>▼ 16,6 %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Įrengta žalioji galia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317,9 MW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0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MW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19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Išleistų obligacijų balansinė vertė 59,0 mln. EUR, paskolos 6,2 mln. EUR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Pardavimo procesas pradėtas, sandorių dar nepaskelbta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pardavimų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Statyba vyksta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Terminas praėjo, sandoris neužbaigtas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 saulės, vėjo ir kaupimo projektai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„Tamsiai žalias“ fondas pagal SFDR 9 straipsnį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Investuoja į atsinaujinančią energiją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Visos obligacijų emisijos – žaliosios obligacijos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Finansinė rizika (veiklos tęstinumas) aprašyta skiltyje „Investuotojui“.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ir atsinaujinančios energijos politika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Projektai ES / EEE su leidimais (pvz., Ekoelektra – visi statybos leidimai gauti)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požiūriu nereikia: atsinaujinančios energijos fondas.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įrengta galia (317,9 MW) ir gamyba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SFDR 9 str. atsinaujinančios energijos fondas; rizika – finansinė, ne ESG.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Atsinaujinančios energetikos investicijos (AEI)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ei/2026_q2_en_con_esef.pdf#page=32" TargetMode="External"/><Relationship Id="rId11" Type="http://schemas.openxmlformats.org/officeDocument/2006/relationships/hyperlink" Target="https://nasdaqbaltic.com/market/upload/reports/aei/2026_q2_en_con_esef.pdf#page=21" TargetMode="External"/><Relationship Id="rId12" Type="http://schemas.openxmlformats.org/officeDocument/2006/relationships/hyperlink" Target="https://nasdaqbaltic.com/market/upload/reports/aei/2026_q2_en_con_esef.pdf#page=24" TargetMode="External"/><Relationship Id="rId13" Type="http://schemas.openxmlformats.org/officeDocument/2006/relationships/hyperlink" Target="https://nasdaqbaltic.com/market/upload/reports/aei/2026_q2_en.pdf#page=1" TargetMode="External"/><Relationship Id="rId14" Type="http://schemas.openxmlformats.org/officeDocument/2006/relationships/hyperlink" Target="https://nasdaqbaltic.com/market/upload/reports/aei/2026_q2_en_con_esef.pdf#page=4" TargetMode="External"/><Relationship Id="rId15" Type="http://schemas.openxmlformats.org/officeDocument/2006/relationships/hyperlink" Target="https://nasdaqbaltic.com/market/upload/reports/aei/2025_q4_en_con.pdf#page=4" TargetMode="External"/><Relationship Id="rId16" Type="http://schemas.openxmlformats.org/officeDocument/2006/relationships/hyperlink" Target="https://nasdaqbaltic.com/market/upload/reports/aei/2026_q2_en_con_esef.pdf#page=19" TargetMode="External"/><Relationship Id="rId17" Type="http://schemas.openxmlformats.org/officeDocument/2006/relationships/hyperlink" Target="https://nasdaqbaltic.com/market/upload/reports/aei/2025_q4_en_con.pdf#page=24" TargetMode="External"/><Relationship Id="rId18" Type="http://schemas.openxmlformats.org/officeDocument/2006/relationships/hyperlink" Target="https://nasdaqbaltic.com/market/upload/reports/aei/2025_q4_en_con.pdf#page=3" TargetMode="External"/><Relationship Id="rId19" Type="http://schemas.openxmlformats.org/officeDocument/2006/relationships/hyperlink" Target="https://nasdaqbaltic.com/market/upload/reports/aei/2026_q2_en_con_esef.pdf#page=3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nasdaqbaltic.com/market/upload/reports/aei/2026_q2_en_con_esef.pdf#page=9" TargetMode="External"/><Relationship Id="rId22" Type="http://schemas.openxmlformats.org/officeDocument/2006/relationships/hyperlink" Target="https://nasdaqbaltic.com/market/upload/reports/aei/2026_q2_en_con_esef.pdf#page=17" TargetMode="External"/><Relationship Id="rId23" Type="http://schemas.openxmlformats.org/officeDocument/2006/relationships/hyperlink" Target="https://nasdaqbaltic.com/market/upload/reports/aei/2026_q2_en_con_esef.pdf#page=33" TargetMode="External"/><Relationship Id="rId24" Type="http://schemas.openxmlformats.org/officeDocument/2006/relationships/hyperlink" Target="https://nasdaqbaltic.com/market/upload/reports/aei/2025_q4_en_con.pdf#page=17" TargetMode="External"/><Relationship Id="rId2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