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Altum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Baa1 long-term issuer rating, P-2 short-term, outlook stable (affirmed 2025-01-28)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9M 2026 interim report - 2026-11-26 to 2026-11-30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Altum is Latvia's 100% state-owned development finance institution, rated Baa1 by Moody's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1H profit EUR 10.1m (+15%), equity ratio about 25% (calculated by the tool), 180-day liquidity ratio 227%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10.13 EUR m</w:t>
            </w:r>
          </w:p>
          <w:p>
            <w:r>
              <w:rPr>
                <w:color w:val="5F6B7A"/>
                <w:sz w:val="16"/>
              </w:rPr>
              <w:t>▲ 15.0 %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4.6%</w:t>
            </w:r>
          </w:p>
          <w:p>
            <w:r>
              <w:rPr>
                <w:color w:val="5F6B7A"/>
                <w:sz w:val="16"/>
              </w:rPr>
              <w:t>▲ 0.4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Equity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455.8 EUR m</w:t>
            </w:r>
          </w:p>
          <w:p>
            <w:r>
              <w:rPr>
                <w:color w:val="5F6B7A"/>
                <w:sz w:val="16"/>
              </w:rPr>
              <w:t>▲ 7.7 %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Equity ratio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25.4%</w:t>
            </w:r>
          </w:p>
          <w:p>
            <w:r>
              <w:rPr>
                <w:color w:val="5F6B7A"/>
                <w:sz w:val="16"/>
              </w:rPr>
              <w:t>▲ 0.5 p. p.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Profit up:</w:t>
      </w:r>
      <w:r>
        <w:rPr>
          <w:b w:val="0"/>
        </w:rPr>
        <w:t xml:space="preserve"> 1H profit EUR 10.1m (8.8m), ROE 4.6% (4.2%); net interest income EUR 10.1m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Support portfolio growing fast:</w:t>
      </w:r>
      <w:r>
        <w:rPr>
          <w:b w:val="0"/>
        </w:rPr>
        <w:t xml:space="preserve"> loans EUR 707.1m (+32% year on year), guarantees EUR 737.7m; total portfolio EUR 1,704.8m (+26%; changes calculated by the tool)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Risk covered:</w:t>
      </w:r>
      <w:r>
        <w:rPr>
          <w:b w:val="0"/>
        </w:rPr>
        <w:t xml:space="preserve"> total risk coverage EUR 392.7m; TCE / TMA 18.5%; 180-day liquidity 227% (387% a year ago)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New programmes:</w:t>
      </w:r>
      <w:r>
        <w:rPr>
          <w:b w:val="0"/>
        </w:rPr>
        <w:t xml:space="preserve"> a planned EUR 100m 'For Growth and Defence' fund, EUR 50m NIB funding, a 0% guarantee fee for sustainable SME projects</w:t>
      </w:r>
      <w:hyperlink r:id="rId12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3.576%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32.08*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8.81*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10.13*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15.0 %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20.03*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9.79*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10.06*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18.8%*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39.4%*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31.4%*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7.4%*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4.2%*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4.6%*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0.4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621.2*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535.9*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707.1*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31.9 %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1,730.0*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1,703.2*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1,791.9*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5.2 %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445.7*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423.3*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455.8*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7.7 %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25.8%ᶜ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24.9%ᶜ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25.4%ᶜ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/>
        </w:rPr>
        <w:t>Altum runs state aid and development programmes:</w:t>
      </w:r>
      <w:r>
        <w:rPr>
          <w:b w:val="0"/>
        </w:rPr>
        <w:t xml:space="preserve"> loans, guarantees, venture capital funds, the Latvian Land Fund and an IPO fund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A zero-tolerance regime for Russian residents applies from 2026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FY2025 profit EUR 32.1m, ROE 7.4%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Equity EUR 455.8m, total assets EUR 1,791.9m, financial debt EUR 955.7m</w:t>
      </w:r>
      <w:hyperlink r:id="rId10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Bank capital adequacy requirements do not apply to Altum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Strategy 2025-2027: positive return on capital; better access to finance (climate, housing, venture capital)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 2026 ROE 4.6%; portfolio +26%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On track: return is positive and the portfolio is growing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100m 'For Growth and Defence' fund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Planned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plan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a 3.576% bond, EUR 70m, maturing 2030-05-30 (Nasdaq Riga)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The 0.443% bond LV0000870095 matured on 2026-10-08 and is no longer held.</w:t>
      </w:r>
    </w:p>
    <w:p>
      <w:pPr>
        <w:pStyle w:val="ListBullet"/>
        <w:spacing w:after="60"/>
      </w:pPr>
      <w:r>
        <w:rPr>
          <w:b/>
        </w:rPr>
        <w:t>Credit quality:</w:t>
      </w:r>
      <w:r>
        <w:rPr>
          <w:b w:val="0"/>
        </w:rPr>
        <w:t xml:space="preserve"> state ownership and Moody's Baa1; borrowing funds state programmes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low risk, stable metrics.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State development finance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activity in excluded sectors</w:t>
      </w:r>
      <w:hyperlink r:id="rId14">
        <w:r>
          <w:rPr>
            <w:color w:val="2A78D6"/>
            <w:vertAlign w:val="superscript"/>
            <w:sz w:val="16"/>
          </w:rPr>
          <w:t xml:space="preserve">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Cooperation with Russian and Belarusian parties is restricted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Automatic check against the EU, UN, US OFAC and UK consolidated sanctions lists.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Transition finance products for SMEs and agriculture, the EIB Green Checker for sustainable loans (pricing discount), a 0% guarantee fee for sustainable projects</w:t>
      </w:r>
      <w:hyperlink r:id="rId18">
        <w:r>
          <w:rPr>
            <w:color w:val="2A78D6"/>
            <w:vertAlign w:val="superscript"/>
            <w:sz w:val="16"/>
          </w:rPr>
          <w:t xml:space="preserve">11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Aims to reduce CO2 emissions of the financed portfolio</w:t>
      </w:r>
      <w:hyperlink r:id="rId18">
        <w:r>
          <w:rPr>
            <w:color w:val="2A78D6"/>
            <w:vertAlign w:val="superscript"/>
            <w:sz w:val="16"/>
          </w:rPr>
          <w:t xml:space="preserve">11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Investments policy and the Environmental and Social &amp; Human Rights policies</w:t>
      </w:r>
      <w:hyperlink r:id="rId19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State-controlled development institution, sustainability criteria in financing</w:t>
      </w:r>
      <w:hyperlink r:id="rId18">
        <w:r>
          <w:rPr>
            <w:color w:val="2A78D6"/>
            <w:vertAlign w:val="superscript"/>
            <w:sz w:val="16"/>
          </w:rPr>
          <w:t xml:space="preserve">11</w:t>
        </w:r>
      </w:hyperlink>
      <w:r>
        <w:rPr>
          <w:b w:val="0"/>
          <w:color w:val="333333"/>
          <w:sz w:val="19"/>
        </w:rPr>
        <w:t>, sanctions risk management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a state institution with a clear mandate.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loans assessed with the EIB Green Checker and a portfolio emission reduction goal</w:t>
      </w:r>
      <w:hyperlink r:id="rId18">
        <w:r>
          <w:rPr>
            <w:color w:val="2A78D6"/>
            <w:vertAlign w:val="superscript"/>
            <w:sz w:val="16"/>
          </w:rPr>
          <w:t xml:space="preserve">11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A state development institution promoting sustainable finance.</w:t>
      </w:r>
    </w:p>
    <w:p>
      <w:r>
        <w:rPr>
          <w:i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0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2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Altum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altm/2026_q2_en.pdf#page=3" TargetMode="External"/><Relationship Id="rId11" Type="http://schemas.openxmlformats.org/officeDocument/2006/relationships/hyperlink" Target="https://nasdaqbaltic.com/statistics/en/instrument/LV0000104669/reports" TargetMode="External"/><Relationship Id="rId12" Type="http://schemas.openxmlformats.org/officeDocument/2006/relationships/hyperlink" Target="https://nasdaqbaltic.com/market/upload/reports/altm/2026_q2_en.pdf#page=13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altm/2026_q2_en.pdf#page=2" TargetMode="External"/><Relationship Id="rId15" Type="http://schemas.openxmlformats.org/officeDocument/2006/relationships/hyperlink" Target="https://nasdaqbaltic.com/market/upload/reports/altm/2026_q2_en.pdf#page=22" TargetMode="External"/><Relationship Id="rId16" Type="http://schemas.openxmlformats.org/officeDocument/2006/relationships/hyperlink" Target="https://nasdaqbaltic.com/market/upload/reports/altm/2026_q2_en.pdf#page=15" TargetMode="External"/><Relationship Id="rId17" Type="http://schemas.openxmlformats.org/officeDocument/2006/relationships/hyperlink" Target="https://nasdaqbaltic.com/statistics/en/instrument/LV0000104669/security?date=2026-10-19" TargetMode="External"/><Relationship Id="rId18" Type="http://schemas.openxmlformats.org/officeDocument/2006/relationships/hyperlink" Target="https://nasdaqbaltic.com/market/upload/reports/altm/2026_q2_en.pdf#page=14" TargetMode="External"/><Relationship Id="rId1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