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Altum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Baa1 long-term issuer rating, P-2 short-term, outlook stable (affirmed 2025-01-28)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- 2026-11-26 to 2026-11-30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Altum – 100 % valstybinė Latvijos plėtros finansų institucija su Moody's Baa1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I pusm. pelnas 10,1 mln. EUR (+15 %), nuosavo kapitalo dalis apie 25 % (apskaičiuota įrankio), 180 dienų likvidumo rodiklis 227 %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10,13 mln. EUR</w:t>
            </w:r>
          </w:p>
          <w:p>
            <w:r>
              <w:rPr>
                <w:color w:val="5F6B7A"/>
                <w:sz w:val="16"/>
              </w:rPr>
              <w:t>▲ 15,0 %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4,6 %</w:t>
            </w:r>
          </w:p>
          <w:p>
            <w:r>
              <w:rPr>
                <w:color w:val="5F6B7A"/>
                <w:sz w:val="16"/>
              </w:rPr>
              <w:t>▲ 0,4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455,8 mln. EUR</w:t>
            </w:r>
          </w:p>
          <w:p>
            <w:r>
              <w:rPr>
                <w:color w:val="5F6B7A"/>
                <w:sz w:val="16"/>
              </w:rPr>
              <w:t>▲ 7,7 %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25,4 %</w:t>
            </w:r>
          </w:p>
          <w:p>
            <w:r>
              <w:rPr>
                <w:color w:val="5F6B7A"/>
                <w:sz w:val="16"/>
              </w:rPr>
              <w:t>▲ 0,5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4,6 %*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Nuo 2026 m. taikomas nulinės tolerancijos režimas Rusijos rezidentams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32,1 mln. EUR, ROE 7,4 %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Altum netaikomi bankų kapitalo pakankamumo reikalavimai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4,6 %; portfelis +26 %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grąža teigiama, portfelis auga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Planuojamas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pStyle w:val="ListBullet"/>
        <w:spacing w:after="60"/>
      </w:pP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Valstybės plėtros finansavimas – veiklos išskirtuose sektoriuose nėra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Bendradarbiavimas su Rusijos ir Baltarusijos subjektais ribojamas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Perėjimo finansavimo produktai MVĮ ir žemės ūkiui, EIB Green Checker tvarioms paskoloms (palūkanų nuolaida), 0 % garantijų mokestis tvariems projektams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mažinti finansuojamo portfelio CO2 emisijas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Valstybės kontroliuojama plėtros institucija, tvarumo kriterijai finansavime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, sankcijų rizikos valdymas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institucija su aiškiu mandatu.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Tvarių paskolų vertinimas EIB Green Checker priemone ir portfelio emisijų mažinimo tikslas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Valstybės plėtros institucija, skatinanti tvarų finansavimą.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Altum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ltm/2026_q2_en.pdf#page=3" TargetMode="External"/><Relationship Id="rId11" Type="http://schemas.openxmlformats.org/officeDocument/2006/relationships/hyperlink" Target="https://nasdaqbaltic.com/statistics/en/instrument/LV0000104669/reports" TargetMode="External"/><Relationship Id="rId12" Type="http://schemas.openxmlformats.org/officeDocument/2006/relationships/hyperlink" Target="https://nasdaqbaltic.com/market/upload/reports/altm/2026_q2_en.pdf#page=13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altm/2026_q2_en.pdf#page=2" TargetMode="External"/><Relationship Id="rId15" Type="http://schemas.openxmlformats.org/officeDocument/2006/relationships/hyperlink" Target="https://nasdaqbaltic.com/market/upload/reports/altm/2026_q2_en.pdf#page=22" TargetMode="External"/><Relationship Id="rId16" Type="http://schemas.openxmlformats.org/officeDocument/2006/relationships/hyperlink" Target="https://nasdaqbaltic.com/market/upload/reports/altm/2026_q2_en.pdf#page=15" TargetMode="External"/><Relationship Id="rId17" Type="http://schemas.openxmlformats.org/officeDocument/2006/relationships/hyperlink" Target="https://nasdaqbaltic.com/statistics/en/instrument/LV0000104669/security?date=2026-10-19" TargetMode="External"/><Relationship Id="rId18" Type="http://schemas.openxmlformats.org/officeDocument/2006/relationships/hyperlink" Target="https://nasdaqbaltic.com/market/upload/reports/altm/2026_q2_en.pdf#page=14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