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Augstsprieguma tīkls (AST)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A- with a stable outlook (agency not named in the report)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AST is Latvia's 100% state-owned electricity transmission operator, rated A-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For the EUR 100m bond maturing on 2027-01-20 it holds EUR 94.7m of cash and an undrawn SEB overdraft of up to EUR 90m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61.4 EUR m</w:t>
            </w:r>
          </w:p>
          <w:p>
            <w:r>
              <w:rPr>
                <w:color w:val="5F6B7A"/>
                <w:sz w:val="16"/>
              </w:rPr>
              <w:t>▲ 22.3 %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22.5 EUR m</w:t>
            </w:r>
          </w:p>
          <w:p>
            <w:r>
              <w:rPr>
                <w:color w:val="5F6B7A"/>
                <w:sz w:val="16"/>
              </w:rPr>
              <w:t>▲ 17.8 %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0.93x</w:t>
            </w:r>
          </w:p>
          <w:p>
            <w:r>
              <w:rPr>
                <w:color w:val="5F6B7A"/>
                <w:sz w:val="16"/>
              </w:rPr>
              <w:t>▼ 0.39x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40%</w:t>
            </w:r>
          </w:p>
          <w:p>
            <w:r>
              <w:rPr>
                <w:color w:val="5F6B7A"/>
                <w:sz w:val="16"/>
              </w:rPr>
              <w:t>▼ 1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Baltics synchronised with Continental Europe on 2025-02-09; the balancing capacity market has run since 2025-02-04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New three-year tariffs apply from 2026-01-01, with the average AST tariff falling by 10%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354.1m (258.6m), EBITDA EUR 90.8m (108.3m), profit EUR 27.5m (22.7m)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Borrowings EUR 189.0m and cash EUR 94.7m at 2026-06-30; the bonds (EUR 100.2m) are now short-term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 on 2025-02-09, confirmed as permanent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Enough funds for the redemption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Submitted to the regulator (PUC) on 2026-07-30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Awaiting approval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Electricity transmission and gas infrastructure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8">
        <w:r>
          <w:rPr>
            <w:color w:val="2A78D6"/>
            <w:vertAlign w:val="superscript"/>
            <w:sz w:val="16"/>
          </w:rPr>
          <w:t xml:space="preserve">10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grid connects renewables: five new connection agreements in Q1 2026, including a 160 MW hybrid plant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New links with Estonia, Sweden and Germany planned</w:t>
      </w:r>
      <w:hyperlink r:id="rId24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(2021) fund the transmission grid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SF6 equipment is being replaced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Board appointments follow open competitions</w:t>
      </w:r>
      <w:hyperlink r:id="rId24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Electricity &amp; Renewable Energy policy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development plan integrates more renewables, ISO 45001 safety, an annual sustainability report</w:t>
      </w:r>
      <w:hyperlink r:id="rId18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state-owned regulated transmission company.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under ESRS is published, with Scope 3 emissions from 2025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Almost 100% of waste is recycled</w:t>
      </w:r>
      <w:hyperlink r:id="rId18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The transmission grid is essential for renewable expansion.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0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1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4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8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Augstsprieguma tīkls (AST)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st/2025_q4_en_con.pdf#page=14" TargetMode="External"/><Relationship Id="rId11" Type="http://schemas.openxmlformats.org/officeDocument/2006/relationships/hyperlink" Target="https://nasdaqbaltic.com/market/upload/reports/ast/2026_q2_en_con.pdf#page=11" TargetMode="External"/><Relationship Id="rId12" Type="http://schemas.openxmlformats.org/officeDocument/2006/relationships/hyperlink" Target="https://nasdaqbaltic.com/statistics/en/instrument/LV0000802528/reports" TargetMode="External"/><Relationship Id="rId13" Type="http://schemas.openxmlformats.org/officeDocument/2006/relationships/hyperlink" Target="https://nasdaqbaltic.com/market/upload/reports/ast/2026_q2_en_con.pdf#page=3" TargetMode="External"/><Relationship Id="rId14" Type="http://schemas.openxmlformats.org/officeDocument/2006/relationships/hyperlink" Target="https://nasdaqbaltic.com/market/upload/reports/ast/2026_q2_en_con.pdf#page=4" TargetMode="External"/><Relationship Id="rId15" Type="http://schemas.openxmlformats.org/officeDocument/2006/relationships/hyperlink" Target="https://nasdaqbaltic.com/market/upload/reports/ast/2025_q4_en_con.pdf#page=13" TargetMode="External"/><Relationship Id="rId16" Type="http://schemas.openxmlformats.org/officeDocument/2006/relationships/hyperlink" Target="https://nasdaqbaltic.com/market/upload/reports/ast/2025_q4_en_con.pdf#page=5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asdaqbaltic.com/market/upload/reports/ast/2025_ar_en_con.pdf#page=8" TargetMode="External"/><Relationship Id="rId19" Type="http://schemas.openxmlformats.org/officeDocument/2006/relationships/hyperlink" Target="https://nasdaqbaltic.com/market/upload/reports/ast/2025_ar_en_con.pdf#page=15" TargetMode="External"/><Relationship Id="rId20" Type="http://schemas.openxmlformats.org/officeDocument/2006/relationships/hyperlink" Target="https://nasdaqbaltic.com/market/upload/reports/ast/2025_q4_en_con.pdf#page=8" TargetMode="External"/><Relationship Id="rId21" Type="http://schemas.openxmlformats.org/officeDocument/2006/relationships/hyperlink" Target="https://nasdaqbaltic.com/market/upload/reports/ast/2026_q2_en_con.pdf#page=22" TargetMode="External"/><Relationship Id="rId22" Type="http://schemas.openxmlformats.org/officeDocument/2006/relationships/hyperlink" Target="https://nasdaqbaltic.com/market/upload/reports/ast/2025_q4_en_con.pdf#page=7" TargetMode="External"/><Relationship Id="rId23" Type="http://schemas.openxmlformats.org/officeDocument/2006/relationships/hyperlink" Target="https://nasdaqbaltic.com/statistics/en/instrument/LV0000802528/security?date=2026-10-19" TargetMode="External"/><Relationship Id="rId24" Type="http://schemas.openxmlformats.org/officeDocument/2006/relationships/hyperlink" Target="https://nasdaqbaltic.com/market/upload/reports/ast/2026_q2_en_con.pdf#page=5" TargetMode="External"/><Relationship Id="rId25" Type="http://schemas.openxmlformats.org/officeDocument/2006/relationships/hyperlink" Target="https://nasdaqbaltic.com/market/upload/reports/ast/2025_ar_en_con.pdf#page=18" TargetMode="External"/><Relationship Id="rId26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