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Augstsprieguma tīkls (AST)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A- with a stable outlook (agency not named in the report)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9M 2026 interim report - 2026-11-30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AST – 100 % valstybinis Latvijos elektros perdavimo operatorius su A- reitingu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2027-01-20 išperkamai 100 mln. EUR obligacijai turima 94,7 mln. EUR pinigų ir nepanaudota SEB overdrafto linija iki 90 mln. EUR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61,4 mln. EUR</w:t>
            </w:r>
          </w:p>
          <w:p>
            <w:r>
              <w:rPr>
                <w:color w:val="5F6B7A"/>
                <w:sz w:val="16"/>
              </w:rPr>
              <w:t>▲ 22,3 %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22,5 mln. EUR</w:t>
            </w:r>
          </w:p>
          <w:p>
            <w:r>
              <w:rPr>
                <w:color w:val="5F6B7A"/>
                <w:sz w:val="16"/>
              </w:rPr>
              <w:t>▲ 17,8 %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0,93x</w:t>
            </w:r>
          </w:p>
          <w:p>
            <w:r>
              <w:rPr>
                <w:color w:val="5F6B7A"/>
                <w:sz w:val="16"/>
              </w:rPr>
              <w:t>▼ 0,39x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Nuosavo kapitalo dalis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40 %</w:t>
            </w:r>
          </w:p>
          <w:p>
            <w:r>
              <w:rPr>
                <w:color w:val="5F6B7A"/>
                <w:sz w:val="16"/>
              </w:rPr>
              <w:t>▼ 1 p. p.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Rezultatai gerėja:</w:t>
      </w:r>
      <w:r>
        <w:rPr>
          <w:b w:val="0"/>
        </w:rPr>
        <w:t xml:space="preserve"> I pusm. EBITDA 61,4 mln. EUR (50,2 mln.), marža 33 % (28 %); pelnas 22,5 mln. EUR (19,1 mln.)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nedidelė:</w:t>
      </w:r>
      <w:r>
        <w:rPr>
          <w:b w:val="0"/>
        </w:rPr>
        <w:t xml:space="preserve"> grynoji skola apie 94 mln. EUR, apie 0,9 karto metinės EBITDA (apskaičiuota įrankio); nuosavo kapitalo dalis 40 %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Obligacijos išpirkimas padengtas:</w:t>
      </w:r>
      <w:r>
        <w:rPr>
          <w:b w:val="0"/>
        </w:rPr>
        <w:t xml:space="preserve"> 2027-01 išperkamai 100 mln. EUR žaliajai obligacijai – SEB overdraftas iki 90 mln. EUR (iki 2027-03-10), 2026-06-30 nepanaudotas</w:t>
      </w:r>
      <w:hyperlink r:id="rId11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Didelės investicijos:</w:t>
      </w:r>
      <w:r>
        <w:rPr>
          <w:b w:val="0"/>
        </w:rPr>
        <w:t xml:space="preserve"> 2025 m. investuota 209 mln. EUR; Plėtros planas 2027–2036 – 1 066 mln. EUR, iš jų iki 289 mln. EUR ES lėšų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AST 0.5% green bond 2027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258,6*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354,1*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177,5*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185,7*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4,6 %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108,3*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90,8*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50,2*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61,4*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22,3 %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17,8 %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209,1*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104,6*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62,6*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40,2 %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74,2ᶜ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120,0ᶜ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134,3ᶜ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94,4ᶜ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29,7 %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0,69xᶜ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1,32xᶜ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0,93xᶜ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0,39x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641,1*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651,7*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644,9*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657,6*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2,0 %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40 %*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1 529,0*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1 587,9*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1 567,7*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1 640,3*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4,6 % vs 6M2025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/>
        </w:rPr>
        <w:t>AST valdo Latvijos 330 kV ir 110 kV perdavimo tinklą (330 kV:</w:t>
      </w:r>
      <w:r>
        <w:rPr>
          <w:b w:val="0"/>
        </w:rPr>
        <w:t xml:space="preserve"> 17 pastočių, 1 727 km; 110 kV: 130 pastočių, 3 786 km) ir 68,46 % Conexus Baltic Grid (dujų perdavimas ir Inčukalnio saugykla)</w:t>
      </w:r>
      <w:hyperlink r:id="rId18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Baltijos šalys sinchronizuotos su kontinentine Europa 2025-02-09; balansavimo pajėgumų rinka veikia nuo 2025-02-04</w:t>
      </w:r>
      <w:hyperlink r:id="rId19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Nuo 2026-01-01 patvirtinti nauji trejų metų tarifai, vidutinis AST tarifas mažėja 10 %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pajamos 354,1 mln. EUR (258,6 mln.), EBITDA 90,8 mln. EUR (108,3 mln.), pelnas 27,5 mln. EUR (22,7 mln.)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2026-06-30 skolinimasis 189,0 mln. EUR, pinigai 94,7 mln. EUR; obligacijos (100,2 mln. EUR) jau trumpalaikės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Dividendai:</w:t>
      </w:r>
      <w:r>
        <w:rPr>
          <w:b w:val="0"/>
        </w:rPr>
        <w:t xml:space="preserve"> per I pusm. patronuojanti įmonė išmokėjo 13,6 mln. EUR</w:t>
      </w:r>
      <w:hyperlink r:id="rId21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Baltijos šalių sinchronizacija su kontinentine Europa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 2025-02-09, patvirtinta kaip nuolatinė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Refinansuoti 100 mln. EUR obligaciją (išpirkimas 2027-01-20)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Pinigai 94,7 mln. EUR ir SEB overdraftas iki 90 mln. EUR; naujos emisijos plano ataskaitoje nėra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Išpirkimui lėšų pakanka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Plėtros planas 2027–2036: 1 066 mln. EUR investicijų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Pateiktas reguliuotojui (PUC) 2026-07-30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Laukia patvirtinimo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0,5 % žalioji obligacija, 100 mln. EUR, išpirkimas 2027-01-20 (Nasdaq Riga nuo 2021-11-29)</w:t>
      </w:r>
      <w:hyperlink r:id="rId2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Išpirkimas:</w:t>
      </w:r>
      <w:r>
        <w:rPr>
          <w:b w:val="0"/>
        </w:rPr>
        <w:t xml:space="preserve"> iki išpirkimo liko mažiau nei 3 mėn.; pinigų (94,7 mln. EUR) ir nepanaudoto 90 mln. EUR overdrafto pakanka visai sumai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maža rizika – valstybės nuosavybė, reguliuojama veikla, A- reitingas ir užtikrintas išpirkimo finansavimas.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Elektros perdavimas ir dujų infrastruktūra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Išskirtuose sektoriuose veiklos nėra</w:t>
      </w:r>
      <w:hyperlink r:id="rId18">
        <w:r>
          <w:rPr>
            <w:color w:val="2A78D6"/>
            <w:vertAlign w:val="superscript"/>
            <w:sz w:val="16"/>
          </w:rPr>
          <w:t xml:space="preserve">10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Tinklas jungia atsinaujinančią energiją: 2026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 ketv. – 5 nauji prijungimo susitarimai, tarp jų 160 MW hibridinė jėgainė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Planuojamos naujos jungtys su Estija, Švedija ir Vokietija</w:t>
      </w:r>
      <w:hyperlink r:id="rId24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Žaliosios obligacijos (2021) finansuoja perdavimo tinklą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SF6 įranga keičiama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6"/>
          </w:rPr>
          <w:t xml:space="preserve">14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Konkursai į valdybą ir stebėtojų tarybą vyksta įprasta tvarka</w:t>
      </w:r>
      <w:hyperlink r:id="rId24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Elektros ir atsinaujinančios energijos politika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Plėtros planas skirtas daugiau atsinaujinančios energijos integruoti, ISO 45001 sauga, metinė tvarumo ataskaita</w:t>
      </w:r>
      <w:hyperlink r:id="rId18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valstybės reguliuojama perdavimo įmonė.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Skelbiama tvarumo ataskaita pagal ESRS, nuo 2025 m. ir 3 apimties emisijos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Perdirbama beveik 100 % atliekų</w:t>
      </w:r>
      <w:hyperlink r:id="rId18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Perdavimo tinklas yra būtinas atsinaujinančios energijos plėtrai.</w:t>
      </w:r>
    </w:p>
    <w:p>
      <w:r>
        <w:rPr>
          <w:i/>
          <w:color w:val="5F6B7A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1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9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0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1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9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5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4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18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Augstsprieguma tīkls (AST)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ast/2025_q4_en_con.pdf#page=14" TargetMode="External"/><Relationship Id="rId11" Type="http://schemas.openxmlformats.org/officeDocument/2006/relationships/hyperlink" Target="https://nasdaqbaltic.com/market/upload/reports/ast/2026_q2_en_con.pdf#page=11" TargetMode="External"/><Relationship Id="rId12" Type="http://schemas.openxmlformats.org/officeDocument/2006/relationships/hyperlink" Target="https://nasdaqbaltic.com/statistics/en/instrument/LV0000802528/reports" TargetMode="External"/><Relationship Id="rId13" Type="http://schemas.openxmlformats.org/officeDocument/2006/relationships/hyperlink" Target="https://nasdaqbaltic.com/market/upload/reports/ast/2026_q2_en_con.pdf#page=3" TargetMode="External"/><Relationship Id="rId14" Type="http://schemas.openxmlformats.org/officeDocument/2006/relationships/hyperlink" Target="https://nasdaqbaltic.com/market/upload/reports/ast/2026_q2_en_con.pdf#page=4" TargetMode="External"/><Relationship Id="rId15" Type="http://schemas.openxmlformats.org/officeDocument/2006/relationships/hyperlink" Target="https://nasdaqbaltic.com/market/upload/reports/ast/2025_q4_en_con.pdf#page=13" TargetMode="External"/><Relationship Id="rId16" Type="http://schemas.openxmlformats.org/officeDocument/2006/relationships/hyperlink" Target="https://nasdaqbaltic.com/market/upload/reports/ast/2025_q4_en_con.pdf#page=5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asdaqbaltic.com/market/upload/reports/ast/2025_ar_en_con.pdf#page=8" TargetMode="External"/><Relationship Id="rId19" Type="http://schemas.openxmlformats.org/officeDocument/2006/relationships/hyperlink" Target="https://nasdaqbaltic.com/market/upload/reports/ast/2025_ar_en_con.pdf#page=15" TargetMode="External"/><Relationship Id="rId20" Type="http://schemas.openxmlformats.org/officeDocument/2006/relationships/hyperlink" Target="https://nasdaqbaltic.com/market/upload/reports/ast/2025_q4_en_con.pdf#page=8" TargetMode="External"/><Relationship Id="rId21" Type="http://schemas.openxmlformats.org/officeDocument/2006/relationships/hyperlink" Target="https://nasdaqbaltic.com/market/upload/reports/ast/2026_q2_en_con.pdf#page=22" TargetMode="External"/><Relationship Id="rId22" Type="http://schemas.openxmlformats.org/officeDocument/2006/relationships/hyperlink" Target="https://nasdaqbaltic.com/market/upload/reports/ast/2025_q4_en_con.pdf#page=7" TargetMode="External"/><Relationship Id="rId23" Type="http://schemas.openxmlformats.org/officeDocument/2006/relationships/hyperlink" Target="https://nasdaqbaltic.com/statistics/en/instrument/LV0000802528/security?date=2026-10-19" TargetMode="External"/><Relationship Id="rId24" Type="http://schemas.openxmlformats.org/officeDocument/2006/relationships/hyperlink" Target="https://nasdaqbaltic.com/market/upload/reports/ast/2026_q2_en_con.pdf#page=5" TargetMode="External"/><Relationship Id="rId25" Type="http://schemas.openxmlformats.org/officeDocument/2006/relationships/hyperlink" Target="https://nasdaqbaltic.com/market/upload/reports/ast/2025_ar_en_con.pdf#page=18" TargetMode="External"/><Relationship Id="rId26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