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Latvenergo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Baa2, stable outlook (affirmed October 2025)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144,6 mln. EUR (+7 %), reitingas Baa2 stabilus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284,6 mln. EUR</w:t>
            </w:r>
          </w:p>
          <w:p>
            <w:r>
              <w:rPr>
                <w:color w:val="5F6B7A"/>
                <w:sz w:val="16"/>
              </w:rPr>
              <w:t>▲ 4,7 %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144,6 mln. EUR</w:t>
            </w:r>
          </w:p>
          <w:p>
            <w:r>
              <w:rPr>
                <w:color w:val="5F6B7A"/>
                <w:sz w:val="16"/>
              </w:rPr>
              <w:t>▲ 6,9 %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2,4x</w:t>
            </w:r>
          </w:p>
          <w:p>
            <w:r>
              <w:rPr>
                <w:color w:val="5F6B7A"/>
                <w:sz w:val="16"/>
              </w:rPr>
              <w:t>▲ 0,9x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FFO / 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35 %</w:t>
            </w:r>
          </w:p>
          <w:p>
            <w:r>
              <w:rPr>
                <w:color w:val="5F6B7A"/>
                <w:sz w:val="16"/>
              </w:rPr>
              <w:t>▼ 22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35 %*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Pagaminta elektros, GWh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2026-08-22 stipri audra sukėlė plačius elektros tiekimo sutrikimus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1 566,1 mln. EUR (2024 m. – 1 703,6 mln.), pelnas 198,8 mln. EUR (273,7 mln., −74,8 mln.); FFO / grynoji skola 39 %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Nuosavas kapitalas 3 035,9 mln. EUR, turtas 5 259,6 mln. EUR – nuosavo kapitalo dalis 57,7 % (apskaičiuota įrankio); ROE 6,9 % (5,2 %)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ROE 6,9 %, FFO / grynoji skola 35 %, reitingas Baa2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2026-06-30 – 937 MW įrengta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su perviršiu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Patvirtintas 1 144 MW projektų portfelis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tikslas, finansuojamas žaliosiomis obligacijomis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−17 %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4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28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azartinių lošimų veiklos nėra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ir naftos gavybos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Dvi Rygos termofikacinės elektrinės kūrenamos gamtinėmis dujomis (2025 m. – 34 % gamybos)</w:t>
      </w:r>
      <w:hyperlink r:id="rId18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iškastinio kuro politika riboja anglį ir naftos bei dujų gavybą, ne dujinę gamybą</w:t>
      </w:r>
      <w:hyperlink r:id="rId29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ar etikos pažeidimų su reikšmingu poveikiu 2024–2025 m. – 0</w:t>
      </w:r>
      <w:hyperlink r:id="rId30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2020 m. pirkimų istorijoje KNAB baudžiamąją bylą nutraukė, pažeidimų nenustatyta</w:t>
      </w:r>
      <w:hyperlink r:id="rId31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(paieška latvių ir anglų k.,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66 % elektros – iš atsinaujinančių šaltinių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S&amp;P Global CSA – 54 balai, tarp 30 % geriausių pasaulio elektros įmonių</w:t>
      </w:r>
      <w:hyperlink r:id="rId32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kredito poveikio balas CIS-2</w:t>
      </w:r>
      <w:hyperlink r:id="rId15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Visos obligacijos – žaliosios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m., neutrali elektros gamyba iki 2040 m.</w:t>
      </w:r>
      <w:hyperlink r:id="rId33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ES taksonomija suderintos investicijos – 97 % (tikslas ≥80 %)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Rimtų nelaimingų atsitikimų ir didelių taršos atvejų 2024–2025 m. – 0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35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, elektros ir atsinaujinančios energetikos politika</w:t>
      </w:r>
      <w:hyperlink r:id="rId35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 xml:space="preserve"> ir iškastinio kuro politika dėl dujinių elektrinių</w:t>
      </w:r>
      <w:hyperlink r:id="rId2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Emisijų mažinimo tikslai (2030 ir 2040 m.)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2024 m. visų apimčių emisijos nepriklausomai patikrintos</w:t>
      </w:r>
      <w:hyperlink r:id="rId36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50001 energijos valdymas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Korupcijos atvejų – 0, sukčiavimo rizikos valdymo planas</w:t>
      </w:r>
      <w:hyperlink r:id="rId30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nėra.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Absoliučios 1–3 apimties emisijos ataskaitos tekste nerastos.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aiški perėjimo prie atsinaujinančios energetikos strategija ir tvarkinga ESG praktika.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gamybos emisijų intensyvumas 0,100 t CO2/MWh 2025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(tikslas 0,06 iki 2030 m.)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−17 % nuo 2021 m.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97 %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Atsinaujinančių šaltinių dalis 66 %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Daugiausia hidroenergija, sparčiai auga vėjo ir saulės gamyba, aiškūs klimato tikslai; dujinės elektrinės lieka rezervu.</w:t>
      </w:r>
    </w:p>
    <w:p>
      <w:r>
        <w:rPr>
          <w:i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0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2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3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3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9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1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2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3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5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29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6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0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Latvenergo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elek/2025_ar_en_con.pdf#page=24" TargetMode="External"/><Relationship Id="rId11" Type="http://schemas.openxmlformats.org/officeDocument/2006/relationships/hyperlink" Target="https://nasdaqbaltic.com/market/upload/reports/elek/2026_q2_en_con.pdf#page=12" TargetMode="External"/><Relationship Id="rId12" Type="http://schemas.openxmlformats.org/officeDocument/2006/relationships/hyperlink" Target="https://nasdaqbaltic.com/market/upload/reports/elek/2026_q2_en_con.pdf" TargetMode="External"/><Relationship Id="rId13" Type="http://schemas.openxmlformats.org/officeDocument/2006/relationships/hyperlink" Target="https://nasdaqbaltic.com/market/upload/reports/elek/2026_q2_en_con.pdf#page=7" TargetMode="External"/><Relationship Id="rId14" Type="http://schemas.openxmlformats.org/officeDocument/2006/relationships/hyperlink" Target="https://nasdaqbaltic.com/market/upload/reports/elek/2025_ar_en_con.pdf#page=9" TargetMode="External"/><Relationship Id="rId15" Type="http://schemas.openxmlformats.org/officeDocument/2006/relationships/hyperlink" Target="https://nasdaqbaltic.com/market/upload/reports/elek/2025_ar_en_con.pdf#page=8" TargetMode="External"/><Relationship Id="rId16" Type="http://schemas.openxmlformats.org/officeDocument/2006/relationships/hyperlink" Target="https://nasdaqbaltic.com/market/upload/reports/elek/2026_q2_en_con.pdf#page=5" TargetMode="External"/><Relationship Id="rId17" Type="http://schemas.openxmlformats.org/officeDocument/2006/relationships/hyperlink" Target="https://nasdaqbaltic.com/market/upload/reports/elek/2026_q2_en_con.pdf#page=15" TargetMode="External"/><Relationship Id="rId18" Type="http://schemas.openxmlformats.org/officeDocument/2006/relationships/hyperlink" Target="https://nasdaqbaltic.com/market/upload/reports/elek/2025_ar_en_con.pdf#page=1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elek/2026_q2_en_con.pdf#page=3" TargetMode="External"/><Relationship Id="rId21" Type="http://schemas.openxmlformats.org/officeDocument/2006/relationships/hyperlink" Target="https://nasdaqbaltic.com/market/upload/reports/elek/2026_q2_en_con.pdf#page=14" TargetMode="External"/><Relationship Id="rId22" Type="http://schemas.openxmlformats.org/officeDocument/2006/relationships/hyperlink" Target="https://nasdaqbaltic.com/market/upload/reports/elek/2026_q2_en_con.pdf#page=8" TargetMode="External"/><Relationship Id="rId23" Type="http://schemas.openxmlformats.org/officeDocument/2006/relationships/hyperlink" Target="https://nasdaqbaltic.com/market/upload/reports/elek/2025_ar_en_con.pdf#page=27" TargetMode="External"/><Relationship Id="rId24" Type="http://schemas.openxmlformats.org/officeDocument/2006/relationships/hyperlink" Target="https://nasdaqbaltic.com/statistics/en/instrument/LV0000802684/security?date=2026-10-22" TargetMode="External"/><Relationship Id="rId25" Type="http://schemas.openxmlformats.org/officeDocument/2006/relationships/hyperlink" Target="https://nasdaqbaltic.com/statistics/en/instrument/LV0000870129/security?date=2026-10-22" TargetMode="External"/><Relationship Id="rId26" Type="http://schemas.openxmlformats.org/officeDocument/2006/relationships/hyperlink" Target="https://nasdaqbaltic.com/statistics/en/instrument/LV0000802460/security?date=2026-10-22" TargetMode="External"/><Relationship Id="rId27" Type="http://schemas.openxmlformats.org/officeDocument/2006/relationships/hyperlink" Target="https://nasdaqbaltic.com/statistics/en/instrument/XS3227294132/security?date=2026-10-22" TargetMode="External"/><Relationship Id="rId28" Type="http://schemas.openxmlformats.org/officeDocument/2006/relationships/hyperlink" Target="https://nasdaqbaltic.com/market/upload/reports/elek/2025_ar_en_con.pdf" TargetMode="External"/><Relationship Id="rId29" Type="http://schemas.openxmlformats.org/officeDocument/2006/relationships/hyperlink" Target="https://webapp.sebgroup.com/mb/mblib.nsf/dld/80AF6A2E5F88CDC2C12586B1002E33C2?opendocument" TargetMode="External"/><Relationship Id="rId30" Type="http://schemas.openxmlformats.org/officeDocument/2006/relationships/hyperlink" Target="https://nasdaqbaltic.com/market/upload/reports/elek/2025_ar_en_con.pdf#page=29" TargetMode="External"/><Relationship Id="rId31" Type="http://schemas.openxmlformats.org/officeDocument/2006/relationships/hyperlink" Target="https://jauns.lv/raksts/zinas/407457-starp-latvenergo-koncerna-iepirkumu-uzvaretajiem-atrodami-vairaki-martinsona-motokluba-ziedotaji" TargetMode="External"/><Relationship Id="rId32" Type="http://schemas.openxmlformats.org/officeDocument/2006/relationships/hyperlink" Target="https://nasdaqbaltic.com/market/upload/reports/elek/2025_ar_en_con.pdf#page=31" TargetMode="External"/><Relationship Id="rId33" Type="http://schemas.openxmlformats.org/officeDocument/2006/relationships/hyperlink" Target="https://nasdaqbaltic.com/market/upload/reports/elek/2025_ar_en_con.pdf#page=26" TargetMode="External"/><Relationship Id="rId34" Type="http://schemas.openxmlformats.org/officeDocument/2006/relationships/hyperlink" Target="https://nasdaqbaltic.com/market/upload/reports/elek/2025_ar_en_con.pdf#page=28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elek/2025_ar_en_con.pdf#page=10" TargetMode="External"/><Relationship Id="rId37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