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Aquisição de dados do DYNSIM e do PI Server com Python</w:t>
      </w:r>
    </w:p>
    <w:p>
      <w:r>
        <w:t>Procedimentos de configuração e leitura em Windows · Revisão de 14 de outubro de 2026</w:t>
      </w:r>
    </w:p>
    <w:p>
      <w:r>
        <w:t>A aquisição é realizada por duas rotas: leitura das variáveis atuais de uma simulação DYNSIM por OPC DA e extração dos eventos armazenados no PI Data Archive pelo AF SDK. O documento organiza os requisitos, a configuração das conexões, a execução dos programas e a validação dos resultados.</w:t>
      </w:r>
    </w:p>
    <w:p>
      <w:pPr>
        <w:pStyle w:val="Heading1"/>
      </w:pPr>
      <w:r>
        <w:t>1 Escopo e fluxo de dados</w:t>
      </w:r>
    </w:p>
    <w:p>
      <w:r>
        <w:t>Na rota OPC DA, o motor de processo Dynsim transfere a variável medida de FC101 ao servidor Matrikon por meio do motor OPC01. O programa Python consulta esse servidor. Na rota PI, o notebook acessa pontos já cadastrados e historizados no Data Archive e produz um CSV por tag.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DYNSIM por OPC DA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PI Server pelo AF SDK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Origem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Variáveis atuais da simulação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Eventos existentes no histórico 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Integração Python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OpenOPC e OPC Automation por COM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pythonnet e OSIsoft.AFSDK.dll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Ambiente adotado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Python 3.12 de 32 bits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Python 3.12 de 64 bits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Consulta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Pontual ou contínua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Intervalo definido de início e fim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Saída do código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Valor, qualidade e horário OPC na console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CSV com Tag, Timestamp e Value</w:t>
            </w:r>
          </w:p>
        </w:tc>
      </w:tr>
    </w:tbl>
    <w:p/>
    <w:p>
      <w:r>
        <w:t>Um tag identifica uma variável. No OPC DA, seu identificador completo é o Item ID; no PI, a variável corresponde a um PI Point. A igualdade entre nomes nas duas plataformas deve ser conferida. A criação de um alias em Matrikon, isoladamente, não cadastra nem historiza um ponto no PI.</w:t>
      </w:r>
    </w:p>
    <w:p>
      <w:pPr>
        <w:pStyle w:val="Heading2"/>
      </w:pPr>
      <w:r>
        <w:t>Organização do procedimento</w:t>
      </w:r>
    </w:p>
    <w:p>
      <w:r>
        <w:t>As seções 2 a 8 descrevem a leitura direta do DYNSIM. As seções 9 a 11 descrevem a extração do PI e podem ser executadas independentemente da configuração OPC. As seções 12 e 13 estabelecem critérios de validação e diagnóstico comuns às duas rotas.</w:t>
      </w:r>
    </w:p>
    <w:p>
      <w:r>
        <w:t>O escopo pressupõe um caso DYNSIM existente, Matrikon instalado e acesso a um PI Data Archive operacional. A instalação do simulador, a implantação do PI Server e a configuração da interface que historiza dados no PI devem estar concluídas antes da aquisição.</w:t>
      </w:r>
    </w:p>
    <w:p>
      <w:pPr>
        <w:pStyle w:val="Heading1"/>
        <w:pageBreakBefore/>
      </w:pPr>
      <w:r>
        <w:t>2 Requisitos e organização do ambiente</w:t>
      </w:r>
    </w:p>
    <w:p>
      <w:r>
        <w:t>Os programas de aquisição são executados em Windows. Para o OPC DA local, DYNSIM, Matrikon e o leitor Python permanecem na mesma estação. Se o simulador estiver em uma sessão de área de trabalho remota, o leitor é executado dentro dessa estação. localhost designa o computador onde o cliente está em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416"/>
      </w:tblGrid>
      <w:tr>
        <w:trPr>
          <w:cantSplit/>
          <w:tblHeader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Configuração de referência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Simulador e caso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AVEVA Dynamic Simulation 2023 e DEETHA_HB02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Motores DYNSIM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Dynsim para o processo e OPC01 do tipo OPCClient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Servidor OPC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Matrikon.OPC.Simulation.1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Cliente de conferência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Matrikon OPC Explorer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Cliente PI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PI AF Client com AF SDK e acesso autorizado ao Data Archive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Arquivos de execução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leer_matrikon_opc_da.py e Extrator_Dados_PI.ipynb</w:t>
            </w:r>
          </w:p>
        </w:tc>
      </w:tr>
    </w:tbl>
    <w:p/>
    <w:p>
      <w:r>
        <w:t>1. Extrai-se o pacote de arquivos em uma pasta de trabalho, por exemplo Coleta_Dados dentro de Documentos. Os dois arquivos de execução devem permanecer nessa pasta. O README do pacote registra seus nomes e sua função.</w:t>
      </w:r>
    </w:p>
    <w:p>
      <w:r>
        <w:t>2. No Explorador de Arquivos, abre-se a pasta de trabalho, digita-se powershell na barra de endereços e pressiona-se Enter. Os comandos seguintes são executados nessa console; as linhas que começam com PS na saída do Windows não fazem parte dos comandos.</w:t>
      </w:r>
    </w:p>
    <w:p>
      <w:r>
        <w:t>3. Instala-se Python 3.12.10 nas arquiteturas de 32 e 64 bits pela página oficial [4], mantendo o Python Launcher disponível. Essa versão reproduz o ambiente OPC confirmado. Para PI, o notebook original registra Python 3.12.7; a adoção de 3.12.10 deve ser validada pela importação do AF SDK.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https://www.python.org/downloads/release/python-31210/</w:t>
      </w:r>
    </w:p>
    <w:p>
      <w:r>
        <w:t>Em Files, selecionam-se Windows installer (32-bit) e Windows installer (64-bit), conforme o ambiente. Se os intérpretes já estiverem instalados, realiza-se apenas a conferência: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py -0p</w:t>
        <w:br/>
        <w:t>py -3.12-32 -c "import struct; print(struct.calcsize('P') * 8)"</w:t>
        <w:br/>
        <w:t>py -3.12-64 -c "import struct; print(struct.calcsize('P') * 8)"</w:t>
      </w:r>
    </w:p>
    <w:p>
      <w:r>
        <w:rPr>
          <w:b w:val="0"/>
        </w:rPr>
        <w:t>Verificação: os dois últimos comandos retornam 32 e 64, respectivamente. As dependências de cada rota serão instaladas em ambientes virtuais próprios nas seções 8 e 9. A presença de uma pasta Program Files (x86) no caminho do AF SDK não determina, isoladamente, a arquitetura do interpretador.</w:t>
      </w:r>
    </w:p>
    <w:p>
      <w:pPr>
        <w:pStyle w:val="Heading1"/>
        <w:pageBreakBefore/>
      </w:pPr>
      <w:r>
        <w:t>3 Criação dos aliases no Matrikon</w:t>
      </w:r>
    </w:p>
    <w:p>
      <w:r>
        <w:t>O caso utiliza FC101.PV, a vazão medida, e FC101.SP, a referência do controlador. Na interface do controlador, ambas aparecem em m³/hr. No servidor, esses valores são representados por aliases que aceitam leitura e escrita.</w:t>
      </w:r>
    </w:p>
    <w:p>
      <w:r>
        <w:t>1. Abre-se MatrikonOPC Server for Simulation and Testing e seleciona-se Alias Configuration no painel esquerdo.</w:t>
      </w:r>
    </w:p>
    <w:p>
      <w:r>
        <w:t>2. Em Edit &gt; Insert Alias Group, cria-se Process. Com esse grupo selecionado, cria-se Plant01. Dentro dele, cria-se Control e, em seguida, FC101. Confirma-se cada nome com Enter.</w:t>
      </w:r>
    </w:p>
    <w:p>
      <w:r>
        <w:t>3. Com FC101 selecionado, utiliza-se Edit &gt; Insert New Alias para cadastrar PV e SP. Os campos são preenchidos conforme a tabela e cada alias é confirmado com Save.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Alias PV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Alias SP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PV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Item Path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Vazio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Vazio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Data Type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REAL8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REAL8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Read only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Desmarcado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Desmarcado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Scaling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Sem escalonamento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Sem escalonamento</w:t>
            </w:r>
          </w:p>
        </w:tc>
      </w:tr>
    </w:tbl>
    <w:p/>
    <w:p>
      <w:r>
        <w:t>REAL8 representa um valor real de dupla precisão. Com Item Path vazio e tipo explícito, o alias mantém o valor em memória. O acesso R/W permite que DYNSIM publique a PV no servidor [1].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95459"/>
            <wp:docPr id="1" name="Picture 1" descr="Figura 1. Hierarquia de aliases utilizada no caso FC10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19412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9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Hierarquia de aliases utilizada no caso FC101.</w:t>
      </w:r>
    </w:p>
    <w:p>
      <w:r>
        <w:t>4. Em File &gt; Save As, salva-se a configuração do servidor como DymSim_01.xml. Registra-se sua localização para que o arquivo possa ser carregado nas sessões seguintes.</w:t>
      </w:r>
    </w:p>
    <w:p>
      <w:r>
        <w:rPr>
          <w:b w:val="0"/>
        </w:rPr>
        <w:t>Verificação: PV e SP aparecem dentro de Process &gt; Plant01 &gt; Control &gt; FC101 com tipo REAL8 e acesso R/W. O XML contém a configuração de Matrikon; o arquivo de comunicação de DYNSIM será gerado separadamente na seção 5.</w:t>
      </w:r>
    </w:p>
    <w:p>
      <w:pPr>
        <w:pStyle w:val="Heading1"/>
        <w:pageBreakBefore/>
      </w:pPr>
      <w:r>
        <w:t>4 Validação dos tags no OPC Explorer</w:t>
      </w:r>
    </w:p>
    <w:p>
      <w:r>
        <w:t>1. Abre-se Matrikon OPC Explorer. No painel esquerdo, localiza-se Matrikon.OPC.Simulation.1 e seleciona-se Connect no menu de contexto. Confirma-se Connected = Yes.</w:t>
      </w:r>
    </w:p>
    <w:p>
      <w:r>
        <w:t>2. Utiliza-se Add Tags para abrir o navegador de tags. Se um grupo já existir, seleciona-se o grupo e utiliza-se Group &gt; Add Items ou o botão Add OPC Items. Mantém-se o nome de grupo atribuído pelo servidor, como Group0.</w:t>
      </w:r>
    </w:p>
    <w:p>
      <w:r>
        <w:t>3. No campo Item ID, insere-se o primeiro identificador abaixo e utiliza-se a seta de inclusão em Tags to be added. Repete-se a operação com o segundo identificador.</w:t>
      </w:r>
    </w:p>
    <w:p>
      <w:pPr>
        <w:spacing w:after="120" w:line="240" w:lineRule="auto"/>
      </w:pPr>
      <w:r>
        <w:rPr>
          <w:rFonts w:ascii="DejaVu Sans Mono" w:hAnsi="DejaVu Sans Mono"/>
          <w:sz w:val="20"/>
        </w:rPr>
        <w:t>Process.Plant01.Control.FC101.PV</w:t>
        <w:br/>
        <w:t>Process.Plant01.Control.FC101.SP</w:t>
      </w:r>
    </w:p>
    <w:p>
      <w:r>
        <w:t>4. Executa-se File &gt; Validate Tags ou Validate Items. Após a validação, seleciona-se File &gt; Update and Return para retornar à visualização dos valores. Uma marca verde indica um item validado [2].</w:t>
      </w:r>
    </w:p>
    <w:p>
      <w:r>
        <w:t>5. Antes de habilitar o XRef, seleciona-se SP e utiliza-se Write Values no menu de contexto. Para o caso de referência, insere-se 85 em New Value e confirma-se com OK. Essa referência será transmitida ao controlador quando a relação de entrada estiver ativa.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90707"/>
            <wp:docPr id="2" name="Picture 2" descr="Figura 2. Item ID dos dois tags em Explorer. Os valores exibidos pertencem a uma configuração inici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5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90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Item ID dos dois tags em Explorer. Os valores exibidos pertencem a uma configuração inicial.</w:t>
      </w:r>
    </w:p>
    <w:p>
      <w:r>
        <w:rPr>
          <w:b w:val="0"/>
        </w:rPr>
        <w:t>Verificação: os dois tags apresentam estado ativo e qualidade Good; após a escrita, SP apresenta 85. A PV passa a acompanhar o processo após a configuração e execução dos motores. A variação da PV será verificada na seção 7.</w:t>
      </w:r>
    </w:p>
    <w:p>
      <w:r>
        <w:t>O valor 85 pertence ao ponto de operação do exemplo. Em outro caso, a referência é definida de acordo com as condições da simulação. Os Item ID completos devem coincidir com aqueles utilizados no configurador e no programa Python.</w:t>
      </w:r>
    </w:p>
    <w:p>
      <w:pPr>
        <w:pStyle w:val="Heading1"/>
        <w:pageBreakBefore/>
      </w:pPr>
      <w:r>
        <w:t>5 Geração do arquivo OCF</w:t>
      </w:r>
    </w:p>
    <w:p>
      <w:r>
        <w:t>OPC01.ocf armazena a conexão e os itens do motor OPCClient. O arquivo é produzido pelo OPC Configurator de DYNSIM. Sua geração exige que Matrikon esteja disponível com os aliases definidos na seção 3.</w:t>
      </w:r>
    </w:p>
    <w:p>
      <w:r>
        <w:t>1. Abre-se OPC Configurator e cria-se uma configuração pelo menu File ou pelo ícone de folha em branco.</w:t>
      </w:r>
    </w:p>
    <w:p>
      <w:r>
        <w:t>2. Na configuração de conexão, selecionam-se o computador local e Matrikon.OPC.Simulation.1. Estabelece-se a conexão com o servidor.</w:t>
      </w:r>
    </w:p>
    <w:p>
      <w:r>
        <w:t>3. Em Browse View, na região inferior esquerda, localizam-se os dois Item ID. Pela ação de inclusão de itens, associa-se PV a Model Inputs e SP a Model Outputs.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736"/>
        <w:gridCol w:w="590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Tag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Lista no OPCClient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Transferência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PV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Model Inputs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Valor do motor Dynsim para o servidor Matrikon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SP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Model Outputs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Valor do servidor Matrikon para o motor Dynsim</w:t>
            </w:r>
          </w:p>
        </w:tc>
      </w:tr>
    </w:tbl>
    <w:p/>
    <w:p>
      <w:r>
        <w:t>As capturas disponíveis registram a configuração concluída, mas não mostram os diálogos de seleção do servidor e de inclusão de itens. Os nomes exatos dessas duas opções permanecem pendentes de confirmação na instalação utilizada. Essa limitação afeta os passos 2 e 3.</w:t>
      </w:r>
    </w:p>
    <w:p>
      <w:r>
        <w:t>4. Em OPC View, expande-se OPC Group Configuration e verifica-se o conteúdo das duas listas. State Variables permanece sem esses itens.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36252"/>
            <wp:docPr id="3" name="Picture 3" descr="Figura 3. PV cadastrada em Model Inpu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237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36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PV cadastrada em Model Inputs.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161846"/>
            <wp:docPr id="4" name="Picture 4" descr="Figura 4. SP cadastrada em Model Outputs. O valor 45 corresponde à captura inici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5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6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SP cadastrada em Model Outputs. O valor 45 corresponde à captura inicial.</w:t>
      </w:r>
    </w:p>
    <w:p>
      <w:r>
        <w:t>5. Pelo menu File, salva-se a configuração como OPC01.ocf no diretório abaixo. Cria-se a pasta OPC01 se ela ainda não existir.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C:\SimSci\DSS64\Simulations\DEETHA_HB02\OPC01\OPC01.ocf</w:t>
      </w:r>
    </w:p>
    <w:p>
      <w:r>
        <w:rPr>
          <w:b w:val="0"/>
        </w:rPr>
        <w:t>Verificação: o OCF existe nessa localização e conserva PV e SP ao ser reaberto no configurador. Os nomes do caso e do diretório são ajustados se outra simulação for utilizada.</w:t>
      </w:r>
    </w:p>
    <w:p>
      <w:pPr>
        <w:pStyle w:val="Heading1"/>
        <w:pageBreakBefore/>
      </w:pPr>
      <w:r>
        <w:t>6 Configuração do motor OPCClient</w:t>
      </w:r>
    </w:p>
    <w:p>
      <w:r>
        <w:t>1. Se os motores estiverem iniciados, executa-se Shut Down antes da edição. Em Simulation Configuration, preserva-se o motor Dynsim e adiciona-se um motor de comunicação com Add. Se OPC01 já existir, seleciona-se Edit.</w:t>
      </w:r>
    </w:p>
    <w:p>
      <w:r>
        <w:t>2. Os campos do motor são preenchidos conforme a tabela. Engine Host recebe o nome do computador Windows em que o motor será executado.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Valor do caso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Engine Name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OPC01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Engine Type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OPCClient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Engine Host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Nome da estação Windows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OPC file path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Caminho completo de OPC01.ocf da seção 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Engine time step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0.25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Reload OPC file on LI and LF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localhost or IP address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localhost</w:t>
            </w:r>
          </w:p>
        </w:tc>
      </w:tr>
    </w:tbl>
    <w:p/>
    <w:p>
      <w:r>
        <w:t>O nome da estação pode ser obtido no PowerShell com:</w:t>
      </w:r>
    </w:p>
    <w:p>
      <w:pPr>
        <w:spacing w:after="120" w:line="240" w:lineRule="auto"/>
      </w:pPr>
      <w:r>
        <w:rPr>
          <w:rFonts w:ascii="DejaVu Sans Mono" w:hAnsi="DejaVu Sans Mono"/>
          <w:sz w:val="20"/>
        </w:rPr>
        <w:t>$env:COMPUTERNAME</w:t>
      </w:r>
    </w:p>
    <w:p>
      <w:r>
        <w:t>3. Aplicam-se os parâmetros, habilita-se Load engine para Dynsim e OPC01 e salva-se a configuração da simulação. O motor é iniciado novamente para aplicar alterações realizadas após Shut Down.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0440" cy="2371890"/>
            <wp:docPr id="5" name="Picture 5" descr="Figura 5. Configuração do motor OPC0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7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37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Configuração do motor OPC01.</w:t>
      </w:r>
    </w:p>
    <w:p>
      <w:r>
        <w:rPr>
          <w:b w:val="0"/>
        </w:rPr>
        <w:t>Verificação: Simulation Configuration contém os dois motores e OPC file path aponta para o arquivo existente. OPC01 será utilizado exatamente com esse nome no XRef. Os parâmetros apresentados reproduzem o caso documentado.</w:t>
      </w:r>
    </w:p>
    <w:p>
      <w:pPr>
        <w:pStyle w:val="Heading1"/>
        <w:pageBreakBefore/>
      </w:pPr>
      <w:r>
        <w:t>7 Transferência das variáveis pelo XRef</w:t>
      </w:r>
    </w:p>
    <w:p>
      <w:r>
        <w:t>O Cross Reference, ou XRef, define o sentido da transferência entre motores. From identifica a origem; To identifica o destino. A PV é publicada pelo processo, enquanto o SP é recebido de Matrikon.</w:t>
      </w:r>
    </w:p>
    <w:p>
      <w:r>
        <w:t>1. Abre-se Cross Reference e, na aba Analog, utiliza-se Insert para cadastrar as duas relações da tabela.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888"/>
        <w:gridCol w:w="1152"/>
        <w:gridCol w:w="3888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From Engine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From Symbol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To Engine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To Symbol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OPC01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Process.Plant01.Control.FC101.SP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Dynsim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FC101.SP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Dynsim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FC101.PV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OPC01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Process.Plant01.Control.FC101.PV</w:t>
            </w:r>
          </w:p>
        </w:tc>
      </w:tr>
    </w:tbl>
    <w:p/>
    <w:p>
      <w:r>
        <w:t>2. Disabled permanece desmarcado nas duas relações. Salva-se a configuração e encerra-se a edição. O nome OPC101, identificado no primeiro ensaio, deve ser corrigido para OPC01 caso apareça em alguma relação.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40291"/>
            <wp:docPr id="6" name="Picture 6" descr="Figura 6. Relações analógicas habilitadas no XRef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7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4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Relações analógicas habilitadas no XRef.</w:t>
      </w:r>
    </w:p>
    <w:p>
      <w:r>
        <w:t>3. Executa-se Load Full para carregar o caso e seus motores; em seguida, executa-se Load XRef. Em Messages, verifica-se a ausência de erros relacionados ao motor e aos símbolos.</w:t>
      </w:r>
    </w:p>
    <w:p>
      <w:r>
        <w:t>4. No controlador FC101, seleciona-se AUTO para a operação automática e executa-se Run. Confirma-se RUNNING e o avanço do tempo de simulação.</w:t>
      </w:r>
    </w:p>
    <w:p>
      <w:r>
        <w:t>5. Compara-se a PV do controlador com a PV de Explorer durante uma variação do processo. O SP deve coincidir com a referência definida no servidor. Não se escreve manualmente a PV durante essa conferência.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71800" cy="1890275"/>
            <wp:docPr id="7" name="Picture 7" descr="Figura 7. Execução do caso e leitura das variáveis em Explor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20350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Execução do caso e leitura das variáveis em Explorer.</w:t>
      </w:r>
    </w:p>
    <w:p>
      <w:r>
        <w:rPr>
          <w:b w:val="0"/>
        </w:rPr>
        <w:t>Verificação: a PV acompanha o controlador e apresenta qualidade Good em Matrikon. Qualidade válida, isoladamente, não comprova a chegada de novos valores da simulação; essa conclusão depende da comparação durante a variação da PV.</w:t>
      </w:r>
    </w:p>
    <w:p>
      <w:pPr>
        <w:pStyle w:val="Heading1"/>
        <w:pageBreakBefore/>
      </w:pPr>
      <w:r>
        <w:t>8 Leitura direta do DYNSIM em Python</w:t>
      </w:r>
    </w:p>
    <w:p>
      <w:pPr>
        <w:pStyle w:val="Heading2"/>
      </w:pPr>
      <w:r>
        <w:t>Preparação e execução</w:t>
      </w:r>
    </w:p>
    <w:p>
      <w:r>
        <w:t>1. No PowerShell aberto na pasta do pacote, cria-se o ambiente OPC de 32 bits e instalam-se suas dependências. O arquivo leer_matrikon_opc_da.py permanece nessa pasta.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py -3.12-32 -m venv .venv_opc</w:t>
        <w:br/>
        <w:t>.\.venv_opc\Scripts\python.exe -m pip install OpenOPC-DA==1.5.1 pywin32 Pyro5</w:t>
      </w:r>
    </w:p>
    <w:p>
      <w:r>
        <w:t>O acesso direto utiliza OpenOPC e pywin32 com um componente OPC Automation registrado no Windows [3]. No ensaio original, a criação do cliente COM falhou em Python de 64 bits e funcionou em Python 3.12.10 de 32 bits. O registro da DLL não foi inspecionado nesse ensaio.</w:t>
      </w:r>
    </w:p>
    <w:p>
      <w:r>
        <w:t>2. Executa-se uma leitura pontual para validar o cliente Python: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.\.venv_opc\Scripts\python.exe leer_matrikon_opc_da.py --once</w:t>
      </w:r>
    </w:p>
    <w:p>
      <w:r>
        <w:rPr>
          <w:b w:val="0"/>
        </w:rPr>
        <w:t>Verificação: a conexão é estabelecida com Matrikon.OPC.Simulation.1 em localhost e são exibidos PV e SP com qualidade Good. O resultado confirmado apresentou PV = 82.402079 e SP = 85.000000; os valores variam conforme o estado do caso.</w:t>
      </w:r>
    </w:p>
    <w:p>
      <w:r>
        <w:t>3. Para a leitura contínua, executa-se o comando abaixo. A execução termina com Ctrl+C ou com uma exceção de comunicação.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.\.venv_opc\Scripts\python.exe leer_matrikon_opc_da.py --interval 1</w:t>
      </w:r>
    </w:p>
    <w:p>
      <w:r>
        <w:t>--once encerra o programa após uma leitura. --interval 1 define uma espera de um segundo entre consultas; a duração da comunicação é adicional. Para registrar a saída textual no PowerShell, utiliza-se:</w:t>
      </w:r>
    </w:p>
    <w:p>
      <w:pPr>
        <w:spacing w:after="120" w:line="240" w:lineRule="auto"/>
      </w:pPr>
      <w:r>
        <w:rPr>
          <w:rFonts w:ascii="DejaVu Sans Mono" w:hAnsi="DejaVu Sans Mono"/>
          <w:sz w:val="17"/>
        </w:rPr>
        <w:t>.\.venv_opc\Scripts\python.exe leer_matrikon_opc_da.py --interval 1 |</w:t>
        <w:br/>
        <w:t xml:space="preserve">    Tee-Object -FilePath .\opc_da.log</w:t>
      </w:r>
    </w:p>
    <w:p>
      <w:r>
        <w:t>O arquivo opc_da.log contém texto de console e não constitui um CSV. O leitor fornecido não grava uma tabela estruturada nem recupera um histórico de eventos; ele consulta os valores atuais dos tags.</w:t>
      </w:r>
    </w:p>
    <w:p>
      <w:pPr>
        <w:pStyle w:val="Heading2"/>
      </w:pPr>
      <w:r>
        <w:t>Arquitetura do leitor</w:t>
      </w:r>
    </w:p>
    <w:p>
      <w:r>
        <w:t>As entradas são o ProgID do servidor, o host, a lista TAGS e o intervalo. O módulo de conexão cria o cliente COM; o módulo de leitura cria um grupo e o reutiliza em consultas síncronas com source="device". O módulo de apresentação exibe valor, qualidade e horário OPC. O encerramento remove o grupo e fecha o cliente.</w:t>
      </w:r>
    </w:p>
    <w:p>
      <w:r>
        <w:t>A ampliação da coleta exige cadastrar e vincular os novos aliases nas seções 3, 5 e 7 e inserir seus Item ID em TAGS. O programa apenas lê os tags; o SP é escrito por Explorer na configuração deste caso.</w:t>
      </w:r>
    </w:p>
    <w:p>
      <w:pPr>
        <w:pStyle w:val="Heading1"/>
        <w:pageBreakBefore/>
      </w:pPr>
      <w:r>
        <w:t>9 Preparação da extração do PI Server</w:t>
      </w:r>
    </w:p>
    <w:p>
      <w:r>
        <w:t>A rota PI utiliza o notebook Extrator_Dados_PI.ipynb, desenvolvido por José Matheus Mendes Trindade. O programa consulta o PI Data Archive por meio das bibliotecas do AF SDK. A estação deve possuir PI AF Client, acesso à rede interna ou VPN e permissões de leitura para os pontos solicitados.</w:t>
      </w:r>
    </w:p>
    <w:p>
      <w:r>
        <w:t>1. Confirma-se a instalação do AF SDK e a existência de OSIsoft.AFSDK.dll. O caminho padrão utilizado pelo notebook é: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C:\Program Files (x86)\PIPC\AF\PublicAssemblies\4.0</w:t>
      </w:r>
    </w:p>
    <w:p>
      <w:r>
        <w:t>A instalação do cliente PI é obtida pelo canal institucional ou pelo administrador do sistema. As dependências instaladas por pip fornecem a integração Python; elas não instalam o AF SDK.</w:t>
      </w:r>
    </w:p>
    <w:p>
      <w:r>
        <w:t>2. Na pasta de trabalho, cria-se o ambiente de 64 bits e instalam-se os pacotes do notebook: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py -3.12-64 -m venv .venv_pi</w:t>
        <w:br/>
        <w:t>.\.venv_pi\Scripts\python.exe -m pip install pandas pythonnet jupyter ipykernel</w:t>
      </w:r>
    </w:p>
    <w:p>
      <w:r>
        <w:t>3. Registra-se o kernel com o identificador interno pi_afsdk e o nome visível PI AF SDK 64 bits. Executa-se o bloco completo; o acento grave no final da primeira linha indica continuação no PowerShell [8]: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.\.venv_pi\Scripts\python.exe -m ipykernel install --user --name pi_afsdk `</w:t>
        <w:br/>
        <w:t xml:space="preserve">    --display-name "PI AF SDK 64 bits"</w:t>
      </w:r>
    </w:p>
    <w:p>
      <w:r>
        <w:t>O kernel é o processo Python que executa as células. Seu ambiente deve conter os pacotes instalados no passo 2. No Windows, pythonnet utiliza .NET Framework por padrão; a carga da biblioteca deve ser compatível com o AF SDK instalado [5].</w:t>
      </w:r>
    </w:p>
    <w:p>
      <w:r>
        <w:t>4. Confere-se o Data Archive configurado no cliente PI. O notebook usa servidores.DefaultPIServer. Na saída registrada, esse servidor era 164.41.16.87; em outra instalação, utiliza-se o nome ou endereço autorizado pelo administrador.</w:t>
      </w:r>
    </w:p>
    <w:p>
      <w:r>
        <w:t>O código não fornece usuário e senha. O acesso depende da configuração de autenticação do cliente e das permissões do usuário Windows. A resposta a ping indica apenas resposta ICMP; a leitura de um ponto pela biblioteca é a verificação da comunicação de aplicação.</w:t>
      </w:r>
    </w:p>
    <w:p>
      <w:r>
        <w:rPr>
          <w:b w:val="0"/>
        </w:rPr>
        <w:t>Verificação: a DLL está instalada, o ambiente retorna 64 bits e o servidor PI esperado está configurado no cliente. A carga do SDK e a leitura efetiva serão conferidas na execução das células.</w:t>
      </w:r>
    </w:p>
    <w:p>
      <w:pPr>
        <w:pStyle w:val="Heading1"/>
        <w:pageBreakBefore/>
      </w:pPr>
      <w:r>
        <w:t>10 Configuração do notebook PI</w:t>
      </w:r>
    </w:p>
    <w:p>
      <w:r>
        <w:t>O notebook contém três células de código com dependências sequenciais. As células de texto descrevem o programa e não substituem sua execução. Os blocos possuem as seguintes responsabilidades: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184"/>
        <w:gridCol w:w="345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Bloco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Entradas e processamento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Saída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Célula 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Importa pandas e clr, acrescenta caminho_sdk e carrega OSIsoft.AFSDK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Classes PIServers, PIPoint, AFTime, AFTimeRange e AFBoundaryType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Célula 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Define extrair_e_salvar_tag_csv e consulta eventos por RecordedValues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Um DataFrame e um CSV por tag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Célula 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Seleciona o servidor, o período e tags_para_buscar; percorre a lista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Execução das extrações e mensagens por tag</w:t>
            </w:r>
          </w:p>
        </w:tc>
      </w:tr>
    </w:tbl>
    <w:p/>
    <w:p>
      <w:r>
        <w:t>1. Na Célula 1, ajusta-se caminho_sdk apenas se a DLL estiver em outro diretório. O caminho precisa apontar para a pasta que contém a biblioteca.</w:t>
      </w:r>
    </w:p>
    <w:p>
      <w:r>
        <w:t>2. Na Célula 3, confere-se meu_servidor. Caso o servidor padrão não seja o destino correto, substitui-se a atribuição por um servidor já cadastrado no cliente. Exemplo correspondente ao ambiente documentado:</w:t>
      </w:r>
    </w:p>
    <w:p>
      <w:pPr>
        <w:spacing w:after="120" w:line="240" w:lineRule="auto"/>
      </w:pPr>
      <w:r>
        <w:rPr>
          <w:rFonts w:ascii="DejaVu Sans Mono" w:hAnsi="DejaVu Sans Mono"/>
          <w:sz w:val="19"/>
        </w:rPr>
        <w:t>servidores = PIServers()</w:t>
        <w:br/>
        <w:t>meu_servidor = servidores["164.41.16.87"]</w:t>
      </w:r>
    </w:p>
    <w:p>
      <w:r>
        <w:t>3. Define-se um período que possua dados no arquivo histórico. Datas absolutas facilitam a repetição da consulta. O bloco abaixo apresenta um exemplo de configuração, e não uma garantia de disponibilidade nesse período:</w:t>
      </w:r>
    </w:p>
    <w:p>
      <w:pPr>
        <w:spacing w:after="120" w:line="240" w:lineRule="auto"/>
      </w:pPr>
      <w:r>
        <w:rPr>
          <w:rFonts w:ascii="DejaVu Sans Mono" w:hAnsi="DejaVu Sans Mono"/>
          <w:sz w:val="19"/>
        </w:rPr>
        <w:t>data_inicio = "2026-03-01 00:00:00"</w:t>
        <w:br/>
        <w:t>data_fim = "2026-10-06 23:59:59"</w:t>
        <w:br/>
        <w:t>tags_para_buscar = [</w:t>
        <w:br/>
        <w:t xml:space="preserve">    "Process.Plant01.Control.FC101.PV",</w:t>
        <w:br/>
        <w:t xml:space="preserve">    "Process.Plant01.Control.LC101.PV",</w:t>
        <w:br/>
        <w:t>]</w:t>
      </w:r>
    </w:p>
    <w:p>
      <w:r>
        <w:t>O caractere * pode ser utilizado em data_fim para consultar até o instante atual. Como o notebook converte esse parâmetro dentro da função de cada tag, as extrações podem obter instantes finais ligeiramente diferentes. Um horário final absoluto mantém o mesmo limite entre variáveis.</w:t>
      </w:r>
    </w:p>
    <w:p>
      <w:r>
        <w:t>4. Confere-se a lista de pontos no PI. O exemplo histórico inclui LC101.PV, enquanto o leitor OPC consulta FC101.SP. A seleção de variáveis deve corresponder ao objetivo da aquisição, sem presumir que todos os aliases OPC tenham um ponto PI equivalente.</w:t>
      </w:r>
    </w:p>
    <w:p>
      <w:r>
        <w:rPr>
          <w:b w:val="0"/>
        </w:rPr>
        <w:t>Verificação: o diretório do SDK está correto, o servidor corresponde ao destino autorizado, o instante inicial precede o final e cada tag existe no Data Archive.</w:t>
      </w:r>
    </w:p>
    <w:p>
      <w:pPr>
        <w:pStyle w:val="Heading1"/>
        <w:pageBreakBefore/>
      </w:pPr>
      <w:r>
        <w:t>11 Execução e resultados da extração PI</w:t>
      </w:r>
    </w:p>
    <w:p>
      <w:pPr>
        <w:pStyle w:val="Heading2"/>
      </w:pPr>
      <w:r>
        <w:t>Execução pelo Jupyter</w:t>
      </w:r>
    </w:p>
    <w:p>
      <w:r>
        <w:t>1. Na pasta que contém Extrator_Dados_PI.ipynb, inicia-se Jupyter com o interpretador do ambiente PI:</w:t>
      </w:r>
    </w:p>
    <w:p>
      <w:pPr>
        <w:spacing w:after="120" w:line="240" w:lineRule="auto"/>
      </w:pPr>
      <w:r>
        <w:rPr>
          <w:rFonts w:ascii="DejaVu Sans Mono" w:hAnsi="DejaVu Sans Mono"/>
          <w:sz w:val="19"/>
        </w:rPr>
        <w:t>.\.venv_pi\Scripts\python.exe -m jupyter notebook</w:t>
      </w:r>
    </w:p>
    <w:p>
      <w:r>
        <w:t>2. Na interface do navegador, abre-se o notebook e seleciona-se PI AF SDK 64 bits no menu de kernels. Para conferir o processo e a pasta de saída, pode-se executar uma célula auxiliar:</w:t>
      </w:r>
    </w:p>
    <w:p>
      <w:pPr>
        <w:spacing w:after="120" w:line="240" w:lineRule="auto"/>
      </w:pPr>
      <w:r>
        <w:rPr>
          <w:rFonts w:ascii="DejaVu Sans Mono" w:hAnsi="DejaVu Sans Mono"/>
          <w:sz w:val="19"/>
        </w:rPr>
        <w:t>import sys</w:t>
        <w:br/>
        <w:t>from pathlib import Path</w:t>
        <w:br/>
        <w:t>print(sys.executable)</w:t>
        <w:br/>
        <w:t>print(Path.cwd())</w:t>
      </w:r>
    </w:p>
    <w:p>
      <w:r>
        <w:t>3. Executa-se a Célula 1 com Shift+Enter e confirma-se a carga do SDK. Executa-se a Célula 2 para definir a função. Com os parâmetros conferidos, executa-se a Célula 3. Run All pode ser utilizado nas execuções seguintes.</w:t>
      </w:r>
    </w:p>
    <w:p>
      <w:r>
        <w:t>Se a Célula 1 exibir erro de carga ou importação, interrompe-se a sequência. Após a correção, reinicia-se o kernel e repetem-se as células na ordem indicada. O notebook captura alguns erros e pode manter definições de uma execução anterior na mesma sessão.</w:t>
      </w:r>
    </w:p>
    <w:p>
      <w:pPr>
        <w:pStyle w:val="Heading2"/>
      </w:pPr>
      <w:r>
        <w:t>Execução pelo VS Code</w:t>
      </w:r>
    </w:p>
    <w:p>
      <w:r>
        <w:t>Com as extensões Python e Jupyter da Microsoft instaladas, abre-se o notebook existente. Em Select Kernel, seleciona-se PI AF SDK 64 bits quando disponível; em Python Environments, pode-se selecionar diretamente .venv_pi. Executam-se os três blocos na mesma ordem. A troca de kernel exige nova execução das células de definição [6].</w:t>
      </w:r>
    </w:p>
    <w:p>
      <w:pPr>
        <w:pStyle w:val="Heading2"/>
      </w:pPr>
      <w:r>
        <w:t>Resultados e arquivos</w:t>
      </w:r>
    </w:p>
    <w:p>
      <w:r>
        <w:t>A saída armazenada no notebook original registra o servidor 164.41.16.87 e as contagens abaixo. Trata-se de evidência da execução original; o guia não estabelece uma nova consulta ao servidor.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384"/>
      </w:tblGrid>
      <w:tr>
        <w:trPr>
          <w:cantSplit/>
          <w:tblHeader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Tag PI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Registros na execução armazenada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Process.Plant01.Control.FC101.PV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773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Process.Plant01.Control.LC101.PV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94</w:t>
            </w:r>
          </w:p>
        </w:tc>
      </w:tr>
    </w:tbl>
    <w:p/>
    <w:p>
      <w:r>
        <w:t>Os nomes de saída são TAG_Process_Plant01_Control_FC101_PV.csv e TAG_Process_Plant01_Control_LC101_PV.csv. O programa substitui pontos por sublinhados e grava no diretório de trabalho do kernel mostrado por Path.cwd(). Uma nova extração da mesma tag sobrescreve o arquivo de mesmo nome.</w:t>
      </w:r>
    </w:p>
    <w:p>
      <w:r>
        <w:rPr>
          <w:b w:val="0"/>
        </w:rPr>
        <w:t>Verificação: cada tag apresenta sua contagem, sem mensagens de erro, e o CSV correspondente existe. A mensagem final de sucesso não é suficiente: a função captura exceções por tag e a célula principal pode continuar após uma falha.</w:t>
      </w:r>
    </w:p>
    <w:p>
      <w:pPr>
        <w:pStyle w:val="Heading1"/>
        <w:pageBreakBefore/>
      </w:pPr>
      <w:r>
        <w:t>12 Validação dos dados adquiridos</w:t>
      </w:r>
    </w:p>
    <w:p>
      <w:pPr>
        <w:pStyle w:val="Heading2"/>
      </w:pPr>
      <w:r>
        <w:t>Formato e interpretação do CSV PI</w:t>
      </w:r>
    </w:p>
    <w:p>
      <w:r>
        <w:t>O CSV utiliza ponto e vírgula como separador e as colunas Tag, Timestamp e Value. Valores conversíveis em número são formatados com vírgula decimal; estados textuais, como Pt Created, permanecem como texto. Na importação em planilhas, selecionam-se esse separador e a localidade numérica correspondente.</w:t>
      </w:r>
    </w:p>
    <w:p>
      <w:pPr>
        <w:spacing w:after="120" w:line="240" w:lineRule="auto"/>
      </w:pPr>
      <w:r>
        <w:rPr>
          <w:rFonts w:ascii="DejaVu Sans Mono" w:hAnsi="DejaVu Sans Mono"/>
          <w:sz w:val="17"/>
        </w:rPr>
        <w:t>Tag;Timestamp;Value</w:t>
        <w:br/>
        <w:t>Process.Plant01.Control.FC101.PV;2026-03-25 14:56:00;9,66856384</w:t>
      </w:r>
    </w:p>
    <w:p>
      <w:r>
        <w:t>Para análise em pandas, preserva-se Value como texto com keep_default_na=False, inclusive cadeias como NULL [9], e cria-se uma coluna numérica separada. Os estados convertidos em NaN nessa coluna são identificados no tratamento de qualidade, sem substituição automática por zero:</w:t>
      </w:r>
    </w:p>
    <w:p>
      <w:pPr>
        <w:spacing w:after="120" w:line="240" w:lineRule="auto"/>
      </w:pPr>
      <w:r>
        <w:rPr>
          <w:rFonts w:ascii="DejaVu Sans Mono" w:hAnsi="DejaVu Sans Mono"/>
          <w:sz w:val="18"/>
        </w:rPr>
        <w:t>import pandas as pd</w:t>
        <w:br/>
        <w:t>df = pd.read_csv("TAG_Process_Plant01_Control_FC101_PV.csv",</w:t>
        <w:br/>
        <w:t xml:space="preserve">                 sep=";", dtype={"Tag": str, "Value": str},</w:t>
        <w:br/>
        <w:t xml:space="preserve">                 keep_default_na=False)</w:t>
        <w:br/>
        <w:t>df["ValorNumerico"] = pd.to_numeric(</w:t>
        <w:br/>
        <w:t xml:space="preserve">    df["Value"].str.replace(",", ".", regex=False), errors="coerce")</w:t>
      </w:r>
    </w:p>
    <w:p>
      <w:pPr>
        <w:pStyle w:val="Heading2"/>
      </w:pPr>
      <w:r>
        <w:t>Horários e amostragem</w:t>
      </w:r>
    </w:p>
    <w:p>
      <w:r>
        <w:t>O horário OPC é fornecido pelo servidor e não representa o tempo interno de DYNSIM. No notebook PI, Timestamp.LocalTime é formatado em segundos, sem fuso explícito e sem frações de segundo. O CSV também não inclui indicadores de qualidade do AF SDK. Essas propriedades devem ser consideradas ao sincronizar sinais ou avaliar a integridade temporal.</w:t>
      </w:r>
    </w:p>
    <w:p>
      <w:r>
        <w:t>RecordedValues retorna eventos armazenados no arquivo histórico [7]. Os instantes podem ser irregulares e não representam necessariamente todas as amostras originalmente produzidas pela fonte. A obtenção de uma série com passo uniforme requer um procedimento separado de alinhamento ou consulta interpolada.</w:t>
      </w:r>
    </w:p>
    <w:p>
      <w:pPr>
        <w:pStyle w:val="Heading2"/>
      </w:pPr>
      <w:r>
        <w:t>Paginação e abrangência da evidência</w:t>
      </w:r>
    </w:p>
    <w:p>
      <w:r>
        <w:t>A função usa LOTE_MAXIMO = 50000 na chamada de RecordedValues e, quando o lote atinge esse tamanho, avança o início para o último evento mais 1 ms. Esse valor pertence ao código; não estabelece o valor de ArcMaxCollect do servidor. O notebook preserva os registros extraídos em memória até a escrita do CSV.</w:t>
      </w:r>
    </w:p>
    <w:p>
      <w:r>
        <w:t>O incremento de 1 ms pode excluir eventos no intervalo saltado ou eventos adicionais com o mesmo horário na fronteira. A execução fornecida utilizou apenas um lote por tag e não valida a paginação de períodos extensos. Antes de usar essa rotina em uma extração completa de grande volume, conferem-se os limites do SDK instalado, as fronteiras e as contagens contra uma consulta de referência.</w:t>
      </w:r>
    </w:p>
    <w:p>
      <w:r>
        <w:rPr>
          <w:b w:val="0"/>
        </w:rPr>
        <w:t>Verificação: os arquivos correspondem às tags e ao período solicitados, estados textuais foram preservados e o referencial temporal foi registrado. A leitura OPC contínua e a paginação PI acima de 50000 registros não foram confirmadas pelas evidências fornecidas.</w:t>
      </w:r>
    </w:p>
    <w:p>
      <w:pPr>
        <w:pStyle w:val="Heading1"/>
        <w:pageBreakBefore/>
      </w:pPr>
      <w:r>
        <w:t>13 Diagnóstico e retomada da aquisição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Sintoma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Ação de diagnóstico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No suitable Python runtime found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Conferem-se os intérpretes com py -0p e a arquitetura exigida nas seções 2, 8 e 9.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Dispatch Classe não registrada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Confere-se o uso de .venv_opc de 32 bits. Persistindo o erro, verifica-se a instalação e o registro do componente OPC Automation.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OPC encerra após uma consulta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Confere-se a presença de --once. Sem essa opção, registra-se a exceção exibida na console.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PV não acompanha DYNSIM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Conferem-se XRef, Disabled, Model Inputs, Load XRef e o avanço do tempo em RUNNING.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OSIsoft.AFSDK não carrega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Conferem-se a instalação da DLL, caminho_sdk, o ambiente PI selecionado e a compatibilidade do runtime .NET.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ModuleNotFoundError para clr ou pandas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Conferem-se sys.executable e a instalação dos pacotes no ambiente do kernel, conforme a seção 9.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Servidor PI ausente ou incorreto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Confere-se DefaultPIServer ou a seleção explícita de servidor na seção 10.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Tag PI não encontrada ou acesso negado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Conferem-se o nome do ponto, o Data Archive selecionado, a rede ou VPN e as permissões de leitura.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CSV vazio ou arquivo não localizado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Conferem-se período com dados, erros por tag e Path.cwd(). Uma extração vazia pode produzir apenas o cabeçalho.</w:t>
            </w:r>
          </w:p>
        </w:tc>
      </w:tr>
    </w:tbl>
    <w:p/>
    <w:p>
      <w:pPr>
        <w:pStyle w:val="Heading2"/>
      </w:pPr>
      <w:r>
        <w:t>Retomada das sessões</w:t>
      </w:r>
    </w:p>
    <w:p>
      <w:r>
        <w:t>Para OPC DA, carrega-se DymSim_01.xml em Matrikon, abre-se o caso DYNSIM salvo, carregam-se os motores e o XRef e executa-se Run. Inicia-se então o comando contínuo da seção 8. Os aliases e o OCF são recriados apenas quando a configuração é alterada.</w:t>
      </w:r>
    </w:p>
    <w:p>
      <w:r>
        <w:t>Para PI, confirma-se a rede, abre-se o notebook com o kernel PI e executam-se as células após a revisão de servidor, tags e período. Os CSV anteriores são preservados em outro diretório quando houver necessidade de manter diferentes extrações da mesma tag.</w:t>
      </w:r>
    </w:p>
    <w:p>
      <w:pPr>
        <w:pStyle w:val="Heading2"/>
      </w:pPr>
      <w:r>
        <w:t>Registro mínimo do experimento</w:t>
      </w:r>
    </w:p>
    <w:p>
      <w:r>
        <w:t>Registram-se o caso ou servidor, os identificadores das variáveis, o intervalo solicitado, o referencial de tempo, as versões das dependências e as contagens obtidas. As versões podem ser arquivadas com pip freeze executado pelo Python de cada ambiente.</w:t>
      </w:r>
    </w:p>
    <w:p>
      <w:pPr>
        <w:pStyle w:val="Heading1"/>
        <w:pageBreakBefore/>
      </w:pPr>
      <w:r>
        <w:t>14 Fontes e autoria dos materiais</w:t>
      </w:r>
    </w:p>
    <w:p>
      <w:pPr>
        <w:pStyle w:val="Heading2"/>
      </w:pPr>
      <w:r>
        <w:t>Materiais de origem</w:t>
      </w:r>
    </w:p>
    <w:p>
      <w:r>
        <w:t>A configuração DYNSIM–Matrikon e a leitura pontual OPC foram reconstruídas a partir do guia de conexão e das capturas do caso FC101, registradas em 6 de outubro de 2026. A revisão integrada preserva os nomes de motores, aliases, arquivos e parâmetros confirmados nesse caso.</w:t>
      </w:r>
    </w:p>
    <w:p>
      <w:r>
        <w:t>A rota PI deriva do Tutorial de Leitura de Dados AVEVA PI Server e Python, do notebook Extrator_Dados_PI.ipynb e do README, desenvolvidos por José Matheus Mendes Trindade para o Projeto Refino da Universidade de Brasília. Os arquivos de código fornecidos são mantidos no pacote de apoio; o guia descreve seu comportamento e seus limites sem atribuir nova validação ao servidor.</w:t>
      </w:r>
    </w:p>
    <w:p>
      <w:r>
        <w:t>O nome real do notebook adotado nesta edição é Extrator_Dados_PI.ipynb. Os nomes alternativos presentes no README original não são utilizados nas instruções de execução.</w:t>
      </w:r>
    </w:p>
    <w:p>
      <w:pPr>
        <w:pStyle w:val="Heading2"/>
      </w:pPr>
      <w:r>
        <w:t>Documentação técnica</w:t>
      </w:r>
    </w:p>
    <w:p>
      <w:r>
        <w:t>[1] Matrikon. MatrikonOPC Server for Simulation User’s Manual. Configuração de grupos e aliases.</w:t>
        <w:br/>
        <w:t>https://www.matrikonopc.com/downloads/459/index.aspx</w:t>
      </w:r>
    </w:p>
    <w:p>
      <w:r>
        <w:t>[2] Matrikon. MatrikonOPC Explorer User’s Manual e Introduction to OPC Tutorial.</w:t>
        <w:br/>
        <w:t>https://www.matrikonopc.com/downloads/192/productmanuals/index.aspx</w:t>
        <w:br/>
        <w:t>https://www.matrikonopc.com/training/opc-demo-tutorial.pdf</w:t>
      </w:r>
    </w:p>
    <w:p>
      <w:r>
        <w:t>[3] OpenOPC para Python 3.7 e versões posteriores. Dependências e componentes OPC Automation.</w:t>
        <w:br/>
        <w:t>https://github.com/j3mg/openopc</w:t>
        <w:br/>
        <w:t>https://openopc.sourceforge.net/api.html</w:t>
      </w:r>
    </w:p>
    <w:p>
      <w:r>
        <w:t>[4] Python Software Foundation. Python 3.12.10 e instaladores oficiais.</w:t>
        <w:br/>
        <w:t>https://www.python.org/downloads/release/python-31210/</w:t>
      </w:r>
    </w:p>
    <w:p>
      <w:r>
        <w:t>[5] Python.NET. Embedding .NET into Python.</w:t>
        <w:br/>
        <w:t>https://pythonnet.github.io/pythonnet/python.html</w:t>
      </w:r>
    </w:p>
    <w:p>
      <w:r>
        <w:t>[6] Microsoft. Jupyter Notebooks in VS Code.</w:t>
        <w:br/>
        <w:t>https://code.visualstudio.com/docs/datascience/jupyter-notebooks</w:t>
      </w:r>
    </w:p>
    <w:p>
      <w:r>
        <w:t>[7] AVEVA. PIPoint.RecordedValues Method.</w:t>
        <w:br/>
        <w:t>https://docs.aveva.com/bundle/af-sdk/page/html/M_OSIsoft_AF_PI_PIPoint_RecordedValues.htm</w:t>
      </w:r>
    </w:p>
    <w:p>
      <w:r>
        <w:t>[8] IPython. Installing the IPython kernel. Identificador interno e nome visível do kernel.</w:t>
        <w:br/>
        <w:t>https://ipython.readthedocs.io/en/stable/install/kernel_install.html</w:t>
      </w:r>
    </w:p>
    <w:p>
      <w:r>
        <w:t>[9] pandas. pandas.read_csv. Preservação de cadeias textuais na importação.</w:t>
        <w:br/>
        <w:t>https://pandas.pydata.org/pandas-docs/version/2.2.3/reference/api/pandas.read_csv.html</w:t>
      </w:r>
    </w:p>
    <w:p>
      <w:r>
        <w:t>As instruções adotam dois ambientes Python separados, um para OPC e outro para PI, e especificam o diretório de trabalho como localização efetiva das saídas. A confirmação dos dois diálogos do OPC Configurator identificados na seção 5 permanece necessária para concluir a descrição dos comandos dessa interface.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Guia de aquisição de dados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DYNSIM  ·  MATRIKON  ·  PI SYSTEM  · 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  <w:lang w:val="pt-BR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Aquisição de dados do DYNSIM e do PI Server com Python</dc:title>
  <dc:subject>OPC DA e AF SDK em Windows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