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00"/>
        <w:jc w:val="center"/>
      </w:pPr>
      <w:r>
        <w:rPr>
          <w:rFonts w:ascii="Georgia" w:cs="Georgia" w:eastAsia="Georgia" w:hAnsi="Georgia"/>
          <w:caps/>
          <w:color w:val="566573"/>
          <w:sz w:val="22"/>
          <w:szCs w:val="22"/>
        </w:rPr>
        <w:t xml:space="preserve">TIPE 2025–2026 — Classe MP</w:t>
      </w:r>
    </w:p>
    <w:p>
      <w:pPr>
        <w:pBdr>
          <w:bottom w:val="single" w:color="2E86C1" w:sz="4" w:space="12"/>
        </w:pBdr>
        <w:spacing w:after="60"/>
        <w:jc w:val="center"/>
      </w:pPr>
      <w:r>
        <w:rPr>
          <w:rFonts w:ascii="Georgia" w:cs="Georgia" w:eastAsia="Georgia" w:hAnsi="Georgia"/>
          <w:b/>
          <w:bCs/>
          <w:color w:val="1B4F72"/>
          <w:sz w:val="44"/>
          <w:szCs w:val="44"/>
        </w:rPr>
        <w:t xml:space="preserve">Interférences dans un signal radio</w:t>
      </w:r>
    </w:p>
    <w:p>
      <w:pPr>
        <w:spacing w:after="60"/>
      </w:pPr>
    </w:p>
    <w:p>
      <w:pPr>
        <w:spacing w:after="40"/>
        <w:jc w:val="center"/>
      </w:pPr>
      <w:r>
        <w:rPr>
          <w:rFonts w:ascii="Georgia" w:cs="Georgia" w:eastAsia="Georgia" w:hAnsi="Georgia"/>
          <w:color w:val="2E86C1"/>
          <w:sz w:val="26"/>
          <w:szCs w:val="26"/>
        </w:rPr>
        <w:t xml:space="preserve">Plan d’exposé complet et feuille de route</w:t>
      </w:r>
    </w:p>
    <w:p>
      <w:pPr>
        <w:spacing w:after="60"/>
      </w:pPr>
    </w:p>
    <w:p>
      <w:pPr>
        <w:spacing w:after="60"/>
      </w:pPr>
    </w:p>
    <w:p>
      <w:pPr>
        <w:spacing w:after="200"/>
        <w:jc w:val="center"/>
      </w:pPr>
      <w:r>
        <w:rPr>
          <w:rFonts w:ascii="Georgia" w:cs="Georgia" w:eastAsia="Georgia" w:hAnsi="Georgia"/>
          <w:i/>
          <w:iCs/>
          <w:color w:val="566573"/>
          <w:sz w:val="22"/>
          <w:szCs w:val="22"/>
        </w:rPr>
        <w:t xml:space="preserve">Problématique : Comment réduire les effets des interférences sur un signal radio ?</w:t>
      </w:r>
    </w:p>
    <w:p>
      <w:pPr>
        <w:spacing w:after="60"/>
      </w:pPr>
    </w:p>
    <w:p>
      <w:pPr>
        <w:spacing w:after="60"/>
      </w:pPr>
    </w:p>
    <w:p>
      <w:pPr>
        <w:jc w:val="center"/>
      </w:pPr>
      <w:r>
        <w:rPr>
          <w:rFonts w:ascii="Calibri" w:cs="Calibri" w:eastAsia="Calibri" w:hAnsi="Calibri"/>
          <w:color w:val="1C2833"/>
          <w:sz w:val="24"/>
          <w:szCs w:val="24"/>
        </w:rPr>
        <w:t xml:space="preserve">CLOT Arthur — N° 36724</w:t>
      </w:r>
    </w:p>
    <w:p>
      <w:pPr>
        <w:spacing w:after="40"/>
        <w:jc w:val="center"/>
      </w:pPr>
      <w:r>
        <w:rPr>
          <w:rFonts w:ascii="Calibri" w:cs="Calibri" w:eastAsia="Calibri" w:hAnsi="Calibri"/>
          <w:color w:val="566573"/>
          <w:sz w:val="20"/>
          <w:szCs w:val="20"/>
        </w:rPr>
        <w:t xml:space="preserve">Positionnement : Sciences Industrielles (Traitement du Signal) / Physique (Ondulatoire)</w:t>
      </w:r>
    </w:p>
    <w:p>
      <w:pPr>
        <w:sectPr>
          <w:pgSz w:w="11906" w:h="16838"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color w:val="1B4F72"/>
          <w:sz w:val="30"/>
          <w:szCs w:val="30"/>
        </w:rPr>
        <w:t xml:space="preserve">Synthèse du plan d’exposé</w:t>
      </w:r>
    </w:p>
    <w:p>
      <w:pPr>
        <w:spacing w:after="120" w:line="276"/>
        <w:jc w:val="both"/>
      </w:pPr>
      <w:r>
        <w:rPr>
          <w:rFonts w:ascii="Calibri" w:cs="Calibri" w:eastAsia="Calibri" w:hAnsi="Calibri"/>
          <w:color w:val="1C2833"/>
          <w:sz w:val="21"/>
          <w:szCs w:val="21"/>
        </w:rPr>
        <w:t xml:space="preserve">Ce document constitue la feuille de route complète du TIPE, depuis la mise en contexte théorique jusqu’à la conclusion applicative. L’exposé est structuré en trois grandes parties articulant modélisation des interférences, étude comparative des modulations numériques, et mise en œuvre de codes correcteurs d’erreurs. Chaque section précise les objectifs, les résultats à présenter et les points de comparaison pertinents.</w:t>
      </w:r>
    </w:p>
    <w:p>
      <w:pPr>
        <w:pStyle w:val="Heading2"/>
        <w:pBdr>
          <w:bottom w:val="single" w:color="2E86C1" w:sz="2" w:space="4"/>
        </w:pBdr>
        <w:spacing w:before="280" w:after="160"/>
      </w:pPr>
      <w:r>
        <w:rPr>
          <w:rFonts w:ascii="Georgia" w:cs="Georgia" w:eastAsia="Georgia" w:hAnsi="Georgia"/>
          <w:b/>
          <w:bCs/>
          <w:color w:val="2E86C1"/>
          <w:sz w:val="26"/>
          <w:szCs w:val="26"/>
        </w:rPr>
        <w:t xml:space="preserve">Vue d’ensemble des phases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126"/>
        <w:gridCol w:w="1500"/>
        <w:gridCol w:w="1500"/>
      </w:tblGrid>
      <w:tr>
        <w:tc>
          <w:tcPr>
            <w:tcW w:type="dxa" w:w="9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Phase</w:t>
            </w:r>
          </w:p>
        </w:tc>
        <w:tc>
          <w:tcPr>
            <w:tcW w:type="dxa" w:w="5126"/>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Contenu</w:t>
            </w:r>
          </w:p>
        </w:tc>
        <w:tc>
          <w:tcPr>
            <w:tcW w:type="dxa" w:w="15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Durée est.</w:t>
            </w:r>
          </w:p>
        </w:tc>
        <w:tc>
          <w:tcPr>
            <w:tcW w:type="dxa" w:w="15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center"/>
            </w:pPr>
            <w:r>
              <w:rPr>
                <w:rFonts w:ascii="Calibri" w:cs="Calibri" w:eastAsia="Calibri" w:hAnsi="Calibri"/>
                <w:b/>
                <w:bCs/>
                <w:color w:val="FFFFFF"/>
                <w:sz w:val="20"/>
                <w:szCs w:val="20"/>
              </w:rPr>
              <w:t xml:space="preserve">Priorité</w:t>
            </w:r>
          </w:p>
        </w:tc>
      </w:tr>
      <w:tr>
        <w:tc>
          <w:tcPr>
            <w:tcW w:type="dxa" w:w="9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0</w:t>
            </w:r>
          </w:p>
        </w:tc>
        <w:tc>
          <w:tcPr>
            <w:tcW w:type="dxa" w:w="51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80"/>
            </w:tcMar>
          </w:tcPr>
          <w:p>
            <w:r>
              <w:rPr>
                <w:rFonts w:ascii="Calibri" w:cs="Calibri" w:eastAsia="Calibri" w:hAnsi="Calibri"/>
                <w:color w:val="1C2833"/>
                <w:sz w:val="20"/>
                <w:szCs w:val="20"/>
              </w:rPr>
              <w:t xml:space="preserve">Introduction &amp; motivation</w:t>
            </w:r>
          </w:p>
        </w:tc>
        <w:tc>
          <w:tcPr>
            <w:tcW w:type="dxa" w:w="1500"/>
            <w:tcBorders>
              <w:top w:val="single" w:color="BDC3C7" w:sz="1"/>
              <w:left w:val="single" w:color="BDC3C7" w:sz="1"/>
              <w:bottom w:val="single" w:color="BDC3C7" w:sz="1"/>
              <w:right w:val="single" w:color="BDC3C7" w:sz="1"/>
            </w:tcBorders>
            <w:shd w:fill="F2F4F4" w:val="clear"/>
            <w:tcMar>
              <w:top w:type="dxa" w:w="60"/>
              <w:left w:type="dxa" w:w="80"/>
              <w:bottom w:type="dxa" w:w="60"/>
              <w:right w:type="dxa" w:w="80"/>
            </w:tcMar>
            <w:vAlign w:val="center"/>
          </w:tcPr>
          <w:p>
            <w:pPr>
              <w:jc w:val="center"/>
            </w:pPr>
            <w:r>
              <w:rPr>
                <w:rFonts w:ascii="Calibri" w:cs="Calibri" w:eastAsia="Calibri" w:hAnsi="Calibri"/>
                <w:color w:val="566573"/>
                <w:sz w:val="20"/>
                <w:szCs w:val="20"/>
              </w:rPr>
              <w:t xml:space="preserve">2 min</w:t>
            </w:r>
          </w:p>
        </w:tc>
        <w:tc>
          <w:tcPr>
            <w:tcW w:type="dxa" w:w="1500"/>
            <w:tcBorders>
              <w:top w:val="single" w:color="BDC3C7" w:sz="1"/>
              <w:left w:val="single" w:color="BDC3C7" w:sz="1"/>
              <w:bottom w:val="single" w:color="BDC3C7" w:sz="1"/>
              <w:right w:val="single" w:color="BDC3C7" w:sz="1"/>
            </w:tcBorders>
            <w:shd w:fill="F2F4F4" w:val="clear"/>
            <w:tcMar>
              <w:top w:type="dxa" w:w="60"/>
              <w:left w:type="dxa" w:w="80"/>
              <w:bottom w:type="dxa" w:w="60"/>
              <w:right w:type="dxa" w:w="80"/>
            </w:tcMar>
            <w:vAlign w:val="center"/>
          </w:tcPr>
          <w:p>
            <w:pPr>
              <w:jc w:val="center"/>
            </w:pPr>
            <w:r>
              <w:rPr>
                <w:rFonts w:ascii="Calibri" w:cs="Calibri" w:eastAsia="Calibri" w:hAnsi="Calibri"/>
                <w:b/>
                <w:bCs/>
                <w:color w:val="E74C3C"/>
                <w:sz w:val="20"/>
                <w:szCs w:val="20"/>
              </w:rPr>
              <w:t xml:space="preserve">Haute</w:t>
            </w:r>
          </w:p>
        </w:tc>
      </w:tr>
      <w:tr>
        <w:tc>
          <w:tcPr>
            <w:tcW w:type="dxa" w:w="9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I</w:t>
            </w:r>
          </w:p>
        </w:tc>
        <w:tc>
          <w:tcPr>
            <w:tcW w:type="dxa" w:w="5126"/>
            <w:tcBorders>
              <w:top w:val="single" w:color="BDC3C7" w:sz="1"/>
              <w:left w:val="single" w:color="BDC3C7" w:sz="1"/>
              <w:bottom w:val="single" w:color="BDC3C7" w:sz="1"/>
              <w:right w:val="single" w:color="BDC3C7" w:sz="1"/>
            </w:tcBorders>
            <w:shd w:fill="FFFFFF" w:val="clear"/>
            <w:tcMar>
              <w:top w:type="dxa" w:w="60"/>
              <w:left w:type="dxa" w:w="120"/>
              <w:bottom w:type="dxa" w:w="60"/>
              <w:right w:type="dxa" w:w="80"/>
            </w:tcMar>
          </w:tcPr>
          <w:p>
            <w:r>
              <w:rPr>
                <w:rFonts w:ascii="Calibri" w:cs="Calibri" w:eastAsia="Calibri" w:hAnsi="Calibri"/>
                <w:color w:val="1C2833"/>
                <w:sz w:val="20"/>
                <w:szCs w:val="20"/>
              </w:rPr>
              <w:t xml:space="preserve">Modélisation des interférences</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vAlign w:val="center"/>
          </w:tcPr>
          <w:p>
            <w:pPr>
              <w:jc w:val="center"/>
            </w:pPr>
            <w:r>
              <w:rPr>
                <w:rFonts w:ascii="Calibri" w:cs="Calibri" w:eastAsia="Calibri" w:hAnsi="Calibri"/>
                <w:color w:val="566573"/>
                <w:sz w:val="20"/>
                <w:szCs w:val="20"/>
              </w:rPr>
              <w:t xml:space="preserve">5 min</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E74C3C"/>
                <w:sz w:val="20"/>
                <w:szCs w:val="20"/>
              </w:rPr>
              <w:t xml:space="preserve">Haute</w:t>
            </w:r>
          </w:p>
        </w:tc>
      </w:tr>
      <w:tr>
        <w:tc>
          <w:tcPr>
            <w:tcW w:type="dxa" w:w="9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II</w:t>
            </w:r>
          </w:p>
        </w:tc>
        <w:tc>
          <w:tcPr>
            <w:tcW w:type="dxa" w:w="51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80"/>
            </w:tcMar>
          </w:tcPr>
          <w:p>
            <w:r>
              <w:rPr>
                <w:rFonts w:ascii="Calibri" w:cs="Calibri" w:eastAsia="Calibri" w:hAnsi="Calibri"/>
                <w:color w:val="1C2833"/>
                <w:sz w:val="20"/>
                <w:szCs w:val="20"/>
              </w:rPr>
              <w:t xml:space="preserve">Modulations numériques : simulation et comparaison</w:t>
            </w:r>
          </w:p>
        </w:tc>
        <w:tc>
          <w:tcPr>
            <w:tcW w:type="dxa" w:w="1500"/>
            <w:tcBorders>
              <w:top w:val="single" w:color="BDC3C7" w:sz="1"/>
              <w:left w:val="single" w:color="BDC3C7" w:sz="1"/>
              <w:bottom w:val="single" w:color="BDC3C7" w:sz="1"/>
              <w:right w:val="single" w:color="BDC3C7" w:sz="1"/>
            </w:tcBorders>
            <w:shd w:fill="F2F4F4" w:val="clear"/>
            <w:tcMar>
              <w:top w:type="dxa" w:w="60"/>
              <w:left w:type="dxa" w:w="80"/>
              <w:bottom w:type="dxa" w:w="60"/>
              <w:right w:type="dxa" w:w="80"/>
            </w:tcMar>
            <w:vAlign w:val="center"/>
          </w:tcPr>
          <w:p>
            <w:pPr>
              <w:jc w:val="center"/>
            </w:pPr>
            <w:r>
              <w:rPr>
                <w:rFonts w:ascii="Calibri" w:cs="Calibri" w:eastAsia="Calibri" w:hAnsi="Calibri"/>
                <w:color w:val="566573"/>
                <w:sz w:val="20"/>
                <w:szCs w:val="20"/>
              </w:rPr>
              <w:t xml:space="preserve">8 min</w:t>
            </w:r>
          </w:p>
        </w:tc>
        <w:tc>
          <w:tcPr>
            <w:tcW w:type="dxa" w:w="1500"/>
            <w:tcBorders>
              <w:top w:val="single" w:color="BDC3C7" w:sz="1"/>
              <w:left w:val="single" w:color="BDC3C7" w:sz="1"/>
              <w:bottom w:val="single" w:color="BDC3C7" w:sz="1"/>
              <w:right w:val="single" w:color="BDC3C7" w:sz="1"/>
            </w:tcBorders>
            <w:shd w:fill="F2F4F4" w:val="clear"/>
            <w:tcMar>
              <w:top w:type="dxa" w:w="60"/>
              <w:left w:type="dxa" w:w="80"/>
              <w:bottom w:type="dxa" w:w="60"/>
              <w:right w:type="dxa" w:w="80"/>
            </w:tcMar>
            <w:vAlign w:val="center"/>
          </w:tcPr>
          <w:p>
            <w:pPr>
              <w:jc w:val="center"/>
            </w:pPr>
            <w:r>
              <w:rPr>
                <w:rFonts w:ascii="Calibri" w:cs="Calibri" w:eastAsia="Calibri" w:hAnsi="Calibri"/>
                <w:b/>
                <w:bCs/>
                <w:color w:val="E74C3C"/>
                <w:sz w:val="20"/>
                <w:szCs w:val="20"/>
              </w:rPr>
              <w:t xml:space="preserve">Haute</w:t>
            </w:r>
          </w:p>
        </w:tc>
      </w:tr>
      <w:tr>
        <w:tc>
          <w:tcPr>
            <w:tcW w:type="dxa" w:w="9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III</w:t>
            </w:r>
          </w:p>
        </w:tc>
        <w:tc>
          <w:tcPr>
            <w:tcW w:type="dxa" w:w="5126"/>
            <w:tcBorders>
              <w:top w:val="single" w:color="BDC3C7" w:sz="1"/>
              <w:left w:val="single" w:color="BDC3C7" w:sz="1"/>
              <w:bottom w:val="single" w:color="BDC3C7" w:sz="1"/>
              <w:right w:val="single" w:color="BDC3C7" w:sz="1"/>
            </w:tcBorders>
            <w:shd w:fill="FFFFFF" w:val="clear"/>
            <w:tcMar>
              <w:top w:type="dxa" w:w="60"/>
              <w:left w:type="dxa" w:w="120"/>
              <w:bottom w:type="dxa" w:w="60"/>
              <w:right w:type="dxa" w:w="80"/>
            </w:tcMar>
          </w:tcPr>
          <w:p>
            <w:r>
              <w:rPr>
                <w:rFonts w:ascii="Calibri" w:cs="Calibri" w:eastAsia="Calibri" w:hAnsi="Calibri"/>
                <w:color w:val="1C2833"/>
                <w:sz w:val="20"/>
                <w:szCs w:val="20"/>
              </w:rPr>
              <w:t xml:space="preserve">Codes correcteurs d’erreurs (Reed-Solomon)</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vAlign w:val="center"/>
          </w:tcPr>
          <w:p>
            <w:pPr>
              <w:jc w:val="center"/>
            </w:pPr>
            <w:r>
              <w:rPr>
                <w:rFonts w:ascii="Calibri" w:cs="Calibri" w:eastAsia="Calibri" w:hAnsi="Calibri"/>
                <w:color w:val="566573"/>
                <w:sz w:val="20"/>
                <w:szCs w:val="20"/>
              </w:rPr>
              <w:t xml:space="preserve">5 min</w:t>
            </w:r>
          </w:p>
        </w:tc>
        <w:tc>
          <w:tcPr>
            <w:tcW w:type="dxa" w:w="1500"/>
            <w:tcBorders>
              <w:top w:val="single" w:color="BDC3C7" w:sz="1"/>
              <w:left w:val="single" w:color="BDC3C7" w:sz="1"/>
              <w:bottom w:val="single" w:color="BDC3C7" w:sz="1"/>
              <w:right w:val="single" w:color="BDC3C7" w:sz="1"/>
            </w:tcBorders>
            <w:shd w:fill="FFFFFF" w:val="clear"/>
            <w:tcMar>
              <w:top w:type="dxa" w:w="60"/>
              <w:left w:type="dxa" w:w="80"/>
              <w:bottom w:type="dxa" w:w="60"/>
              <w:right w:type="dxa" w:w="80"/>
            </w:tcMar>
            <w:vAlign w:val="center"/>
          </w:tcPr>
          <w:p>
            <w:pPr>
              <w:jc w:val="center"/>
            </w:pPr>
            <w:r>
              <w:rPr>
                <w:rFonts w:ascii="Calibri" w:cs="Calibri" w:eastAsia="Calibri" w:hAnsi="Calibri"/>
                <w:b/>
                <w:bCs/>
                <w:color w:val="E74C3C"/>
                <w:sz w:val="20"/>
                <w:szCs w:val="20"/>
              </w:rPr>
              <w:t xml:space="preserve">Haute</w:t>
            </w:r>
          </w:p>
        </w:tc>
      </w:tr>
      <w:tr>
        <w:tc>
          <w:tcPr>
            <w:tcW w:type="dxa" w:w="9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IV</w:t>
            </w:r>
          </w:p>
        </w:tc>
        <w:tc>
          <w:tcPr>
            <w:tcW w:type="dxa" w:w="51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80"/>
            </w:tcMar>
          </w:tcPr>
          <w:p>
            <w:r>
              <w:rPr>
                <w:rFonts w:ascii="Calibri" w:cs="Calibri" w:eastAsia="Calibri" w:hAnsi="Calibri"/>
                <w:color w:val="1C2833"/>
                <w:sz w:val="20"/>
                <w:szCs w:val="20"/>
              </w:rPr>
              <w:t xml:space="preserve">Application ferroviaire &amp; conclusion</w:t>
            </w:r>
          </w:p>
        </w:tc>
        <w:tc>
          <w:tcPr>
            <w:tcW w:type="dxa" w:w="1500"/>
            <w:tcBorders>
              <w:top w:val="single" w:color="BDC3C7" w:sz="1"/>
              <w:left w:val="single" w:color="BDC3C7" w:sz="1"/>
              <w:bottom w:val="single" w:color="BDC3C7" w:sz="1"/>
              <w:right w:val="single" w:color="BDC3C7" w:sz="1"/>
            </w:tcBorders>
            <w:shd w:fill="F2F4F4" w:val="clear"/>
            <w:tcMar>
              <w:top w:type="dxa" w:w="60"/>
              <w:left w:type="dxa" w:w="80"/>
              <w:bottom w:type="dxa" w:w="60"/>
              <w:right w:type="dxa" w:w="80"/>
            </w:tcMar>
            <w:vAlign w:val="center"/>
          </w:tcPr>
          <w:p>
            <w:pPr>
              <w:jc w:val="center"/>
            </w:pPr>
            <w:r>
              <w:rPr>
                <w:rFonts w:ascii="Calibri" w:cs="Calibri" w:eastAsia="Calibri" w:hAnsi="Calibri"/>
                <w:color w:val="566573"/>
                <w:sz w:val="20"/>
                <w:szCs w:val="20"/>
              </w:rPr>
              <w:t xml:space="preserve">3 min</w:t>
            </w:r>
          </w:p>
        </w:tc>
        <w:tc>
          <w:tcPr>
            <w:tcW w:type="dxa" w:w="1500"/>
            <w:tcBorders>
              <w:top w:val="single" w:color="BDC3C7" w:sz="1"/>
              <w:left w:val="single" w:color="BDC3C7" w:sz="1"/>
              <w:bottom w:val="single" w:color="BDC3C7" w:sz="1"/>
              <w:right w:val="single" w:color="BDC3C7" w:sz="1"/>
            </w:tcBorders>
            <w:shd w:fill="F2F4F4" w:val="clear"/>
            <w:tcMar>
              <w:top w:type="dxa" w:w="60"/>
              <w:left w:type="dxa" w:w="80"/>
              <w:bottom w:type="dxa" w:w="60"/>
              <w:right w:type="dxa" w:w="80"/>
            </w:tcMar>
            <w:vAlign w:val="center"/>
          </w:tcPr>
          <w:p>
            <w:pPr>
              <w:jc w:val="center"/>
            </w:pPr>
            <w:r>
              <w:rPr>
                <w:rFonts w:ascii="Calibri" w:cs="Calibri" w:eastAsia="Calibri" w:hAnsi="Calibri"/>
                <w:b/>
                <w:bCs/>
                <w:color w:val="F39C12"/>
                <w:sz w:val="20"/>
                <w:szCs w:val="20"/>
              </w:rPr>
              <w:t xml:space="preserve">Moyenne</w:t>
            </w:r>
          </w:p>
        </w:tc>
      </w:tr>
    </w:tbl>
    <w:p>
      <w:pPr>
        <w:spacing w:after="60"/>
      </w:pPr>
    </w:p>
    <w:p>
      <w:pPr>
        <w:pStyle w:val="Heading1"/>
        <w:spacing w:before="360" w:after="200"/>
      </w:pPr>
      <w:r>
        <w:rPr>
          <w:rFonts w:ascii="Georgia" w:cs="Georgia" w:eastAsia="Georgia" w:hAnsi="Georgia"/>
          <w:b/>
          <w:bCs/>
          <w:color w:val="1B4F72"/>
          <w:sz w:val="30"/>
          <w:szCs w:val="30"/>
        </w:rPr>
        <w:t xml:space="preserve">Phase 0 — Introduction et mise en contexte</w:t>
      </w:r>
    </w:p>
    <w:p>
      <w:pPr>
        <w:pStyle w:val="Heading2"/>
        <w:pBdr>
          <w:bottom w:val="single" w:color="2E86C1" w:sz="2" w:space="4"/>
        </w:pBdr>
        <w:spacing w:before="280" w:after="160"/>
      </w:pPr>
      <w:r>
        <w:rPr>
          <w:rFonts w:ascii="Georgia" w:cs="Georgia" w:eastAsia="Georgia" w:hAnsi="Georgia"/>
          <w:b/>
          <w:bCs/>
          <w:color w:val="2E86C1"/>
          <w:sz w:val="26"/>
          <w:szCs w:val="26"/>
        </w:rPr>
        <w:t xml:space="preserve">0.1 Accroche et motivation</w:t>
      </w:r>
    </w:p>
    <w:p>
      <w:pPr>
        <w:spacing w:after="120" w:line="276"/>
        <w:jc w:val="both"/>
      </w:pPr>
      <w:r>
        <w:rPr>
          <w:rFonts w:ascii="Calibri" w:cs="Calibri" w:eastAsia="Calibri" w:hAnsi="Calibri"/>
          <w:color w:val="1C2833"/>
          <w:sz w:val="21"/>
          <w:szCs w:val="21"/>
        </w:rPr>
        <w:t xml:space="preserve">Ouvrir l’exposé par le contexte applicatif qui a motivé le travail : l’étude de la modulation d’amplitude en TP a conduit à s’interroger sur le choix du type de modulation en fonction du milieu de propagation. L’exemple concret des métros automatiques parisiens (lignes 1, 4, 14) illustre l’enjeu : le système CBTC (Communication-Based Train Control) repose sur une communication radio continue entre la rame et l’infrastructure, où la fiabilité prime sur le débit.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1"/>
              <w:left w:val="single" w:color="2E86C1" w:sz="12"/>
              <w:bottom w:val="single" w:color="2E86C1" w:sz="1"/>
              <w:right w:val="single" w:color="2E86C1" w:sz="1"/>
            </w:tcBorders>
            <w:shd w:fill="EBF5FB" w:val="clear"/>
            <w:tcMar>
              <w:top w:type="dxa" w:w="100"/>
              <w:left w:type="dxa" w:w="200"/>
              <w:bottom w:type="dxa" w:w="100"/>
              <w:right w:type="dxa" w:w="200"/>
            </w:tcMar>
          </w:tcPr>
          <w:p>
            <w:pPr>
              <w:spacing w:after="80"/>
            </w:pPr>
            <w:r>
              <w:rPr>
                <w:rFonts w:ascii="Georgia" w:cs="Georgia" w:eastAsia="Georgia" w:hAnsi="Georgia"/>
                <w:b/>
                <w:bCs/>
                <w:color w:val="2E86C1"/>
                <w:sz w:val="21"/>
                <w:szCs w:val="21"/>
              </w:rPr>
              <w:t xml:space="preserve">À dire au jury</w:t>
            </w:r>
          </w:p>
          <w:p>
            <w:pPr>
              <w:spacing w:after="40" w:line="260"/>
              <w:jc w:val="both"/>
            </w:pPr>
            <w:r>
              <w:rPr>
                <w:rFonts w:ascii="Calibri" w:cs="Calibri" w:eastAsia="Calibri" w:hAnsi="Calibri"/>
                <w:color w:val="1C2833"/>
                <w:sz w:val="20"/>
                <w:szCs w:val="20"/>
              </w:rPr>
              <w:t xml:space="preserve">Le signal circule en boucle entre l’infrastructure (PAS) et le train (PAE) sur trois fréquences distinctes, avec des débits de 2 400 à 4 800 bit/s. Dans un tunnel, les réflexions multiples créent un environnement de propagation particulièrement hostile. La question centrale est donc : comment choisir la modulation la plus résiliente face à ces interférences ?</w:t>
            </w:r>
          </w:p>
        </w:tc>
      </w:tr>
    </w:tbl>
    <w:p>
      <w:pPr>
        <w:spacing w:after="60"/>
      </w:pPr>
    </w:p>
    <w:p>
      <w:pPr>
        <w:pStyle w:val="Heading2"/>
        <w:pBdr>
          <w:bottom w:val="single" w:color="2E86C1" w:sz="2" w:space="4"/>
        </w:pBdr>
        <w:spacing w:before="280" w:after="160"/>
      </w:pPr>
      <w:r>
        <w:rPr>
          <w:rFonts w:ascii="Georgia" w:cs="Georgia" w:eastAsia="Georgia" w:hAnsi="Georgia"/>
          <w:b/>
          <w:bCs/>
          <w:color w:val="2E86C1"/>
          <w:sz w:val="26"/>
          <w:szCs w:val="26"/>
        </w:rPr>
        <w:t xml:space="preserve">0.2 Problématique et plan annoncé</w:t>
      </w:r>
    </w:p>
    <w:p>
      <w:pPr>
        <w:spacing w:after="120" w:line="276"/>
        <w:jc w:val="both"/>
      </w:pPr>
      <w:r>
        <w:rPr>
          <w:rFonts w:ascii="Calibri" w:cs="Calibri" w:eastAsia="Calibri" w:hAnsi="Calibri"/>
          <w:color w:val="1C2833"/>
          <w:sz w:val="21"/>
          <w:szCs w:val="21"/>
        </w:rPr>
        <w:t xml:space="preserve">Formuler explicitement la problématique : « Comment réduire les effets des interférences sur un signal radio ? » Annoncer les trois axes : (I) modéliser les interférences, (II) comparer les modulations numériques par simulation, (III) quantifier le gain apporté par les codes correcteurs d’erreurs. Préciser que la démarche combine théorie, simulation numérique en Python, et confrontation aux résultats analytiques.</w:t>
      </w:r>
    </w:p>
    <w:p>
      <w:pPr>
        <w:pStyle w:val="Heading1"/>
        <w:spacing w:before="360" w:after="200"/>
      </w:pPr>
      <w:r>
        <w:rPr>
          <w:rFonts w:ascii="Georgia" w:cs="Georgia" w:eastAsia="Georgia" w:hAnsi="Georgia"/>
          <w:b/>
          <w:bCs/>
          <w:color w:val="1B4F72"/>
          <w:sz w:val="30"/>
          <w:szCs w:val="30"/>
        </w:rPr>
        <w:t xml:space="preserve">Partie I — Modélisation des interférences</w:t>
      </w:r>
    </w:p>
    <w:p>
      <w:pPr>
        <w:pStyle w:val="Heading2"/>
        <w:pBdr>
          <w:bottom w:val="single" w:color="2E86C1" w:sz="2" w:space="4"/>
        </w:pBdr>
        <w:spacing w:before="280" w:after="160"/>
      </w:pPr>
      <w:r>
        <w:rPr>
          <w:rFonts w:ascii="Georgia" w:cs="Georgia" w:eastAsia="Georgia" w:hAnsi="Georgia"/>
          <w:b/>
          <w:bCs/>
          <w:color w:val="2E86C1"/>
          <w:sz w:val="26"/>
          <w:szCs w:val="26"/>
        </w:rPr>
        <w:t xml:space="preserve">I.1 Cadre théorique : Shannon et les limites de la transmission</w:t>
      </w:r>
    </w:p>
    <w:p>
      <w:pPr>
        <w:spacing w:after="120" w:line="276"/>
        <w:jc w:val="both"/>
      </w:pPr>
      <w:r>
        <w:rPr>
          <w:rFonts w:ascii="Calibri" w:cs="Calibri" w:eastAsia="Calibri" w:hAnsi="Calibri"/>
          <w:color w:val="1C2833"/>
          <w:sz w:val="21"/>
          <w:szCs w:val="21"/>
        </w:rPr>
        <w:t xml:space="preserve">Rappeler brièvement les travaux fondateurs de Claude Shannon (1948) : la notion de capacité de canal C = B·log₂(1 + SNR) établie par le théorème de Shannon–Hartley fixe une borne supérieure au débit transmissible sans erreur dans un canal bruité. Ce théorème fournit le cadre quantitatif justifiant l’étude de l’impact du bruit sur les performances.</w:t>
      </w:r>
    </w:p>
    <w:p>
      <w:pPr>
        <w:spacing w:after="120" w:line="276"/>
        <w:jc w:val="both"/>
      </w:pPr>
      <w:r>
        <w:rPr>
          <w:rFonts w:ascii="Calibri" w:cs="Calibri" w:eastAsia="Calibri" w:hAnsi="Calibri"/>
          <w:b/>
          <w:bCs/>
          <w:color w:val="1C2833"/>
          <w:sz w:val="21"/>
          <w:szCs w:val="21"/>
        </w:rPr>
        <w:t xml:space="preserve">Référence clé : </w:t>
      </w:r>
      <w:r>
        <w:rPr>
          <w:rFonts w:ascii="Calibri" w:cs="Calibri" w:eastAsia="Calibri" w:hAnsi="Calibri"/>
          <w:i/>
          <w:iCs/>
          <w:color w:val="1C2833"/>
          <w:sz w:val="21"/>
          <w:szCs w:val="21"/>
        </w:rPr>
        <w:t xml:space="preserve">C. E. Shannon, « A Mathematical Theory of Communication », Bell System Technical Journal, 1948 [1].</w:t>
      </w:r>
    </w:p>
    <w:p>
      <w:pPr>
        <w:pStyle w:val="Heading2"/>
        <w:pBdr>
          <w:bottom w:val="single" w:color="2E86C1" w:sz="2" w:space="4"/>
        </w:pBdr>
        <w:spacing w:before="280" w:after="160"/>
      </w:pPr>
      <w:r>
        <w:rPr>
          <w:rFonts w:ascii="Georgia" w:cs="Georgia" w:eastAsia="Georgia" w:hAnsi="Georgia"/>
          <w:b/>
          <w:bCs/>
          <w:color w:val="2E86C1"/>
          <w:sz w:val="26"/>
          <w:szCs w:val="26"/>
        </w:rPr>
        <w:t xml:space="preserve">I.2 Sources d’interférences</w:t>
      </w:r>
    </w:p>
    <w:p>
      <w:pPr>
        <w:spacing w:before="200" w:after="120"/>
      </w:pPr>
      <w:r>
        <w:rPr>
          <w:rFonts w:ascii="Georgia" w:cs="Georgia" w:eastAsia="Georgia" w:hAnsi="Georgia"/>
          <w:b/>
          <w:bCs/>
          <w:color w:val="1B4F72"/>
          <w:sz w:val="23"/>
          <w:szCs w:val="23"/>
        </w:rPr>
        <w:t xml:space="preserve">a) Bruit thermique (Johnson–Nyquist)</w:t>
      </w:r>
    </w:p>
    <w:p>
      <w:pPr>
        <w:spacing w:after="120" w:line="276"/>
        <w:jc w:val="both"/>
      </w:pPr>
      <w:r>
        <w:rPr>
          <w:rFonts w:ascii="Calibri" w:cs="Calibri" w:eastAsia="Calibri" w:hAnsi="Calibri"/>
          <w:color w:val="1C2833"/>
          <w:sz w:val="21"/>
          <w:szCs w:val="21"/>
        </w:rPr>
        <w:t xml:space="preserve">Le bruit thermique résulte de l’agitation thermique des porteurs de charges dans tout conducteur électrique. La relation de Nyquist donne la variance de la tension de bruit aux bornes d’une résistance R à la température T dans une bande passante Δf :</w:t>
      </w:r>
    </w:p>
    <w:p>
      <w:pPr>
        <w:spacing w:before="100" w:after="100"/>
        <w:jc w:val="center"/>
      </w:pPr>
      <w:r>
        <w:rPr>
          <w:rFonts w:ascii="Cambria Math" w:cs="Cambria Math" w:eastAsia="Cambria Math" w:hAnsi="Cambria Math"/>
          <w:i/>
          <w:iCs/>
          <w:color w:val="1B4F72"/>
          <w:sz w:val="22"/>
          <w:szCs w:val="22"/>
        </w:rPr>
        <w:t xml:space="preserve">v²_b = 4 k_B · T · R · Δf</w:t>
      </w:r>
    </w:p>
    <w:p>
      <w:pPr>
        <w:spacing w:after="120" w:line="276"/>
        <w:jc w:val="both"/>
      </w:pPr>
      <w:r>
        <w:rPr>
          <w:rFonts w:ascii="Calibri" w:cs="Calibri" w:eastAsia="Calibri" w:hAnsi="Calibri"/>
          <w:color w:val="1C2833"/>
          <w:sz w:val="21"/>
          <w:szCs w:val="21"/>
        </w:rPr>
        <w:t xml:space="preserve">Cette densité spectrale de puissance constante (indépendante de la fréquence) justifie la modélisation en bruit blanc. L’application numérique à T = 290 K, R = 50 Ω, Δf = 1 MHz donne un ordre de grandeur de la puissance de bruit thermique. C’est le bruit plancher incompressible de tout système de réception.</w:t>
      </w:r>
    </w:p>
    <w:p>
      <w:pPr>
        <w:spacing w:after="120" w:line="276"/>
        <w:jc w:val="both"/>
      </w:pPr>
      <w:r>
        <w:rPr>
          <w:rFonts w:ascii="Calibri" w:cs="Calibri" w:eastAsia="Calibri" w:hAnsi="Calibri"/>
          <w:b/>
          <w:bCs/>
          <w:color w:val="1C2833"/>
          <w:sz w:val="21"/>
          <w:szCs w:val="21"/>
        </w:rPr>
        <w:t xml:space="preserve">Référence : </w:t>
      </w:r>
      <w:r>
        <w:rPr>
          <w:rFonts w:ascii="Calibri" w:cs="Calibri" w:eastAsia="Calibri" w:hAnsi="Calibri"/>
          <w:i/>
          <w:iCs/>
          <w:color w:val="1C2833"/>
          <w:sz w:val="21"/>
          <w:szCs w:val="21"/>
        </w:rPr>
        <w:t xml:space="preserve">J. B. Johnson, « Thermal Agitation of Electricity in Conductors », Physical Review, 1928 [3].</w:t>
      </w:r>
    </w:p>
    <w:p>
      <w:pPr>
        <w:spacing w:before="200" w:after="120"/>
      </w:pPr>
      <w:r>
        <w:rPr>
          <w:rFonts w:ascii="Georgia" w:cs="Georgia" w:eastAsia="Georgia" w:hAnsi="Georgia"/>
          <w:b/>
          <w:bCs/>
          <w:color w:val="1B4F72"/>
          <w:sz w:val="23"/>
          <w:szCs w:val="23"/>
        </w:rPr>
        <w:t xml:space="preserve">b) Propagation multi-trajets et évanouissement (fading)</w:t>
      </w:r>
    </w:p>
    <w:p>
      <w:pPr>
        <w:spacing w:after="120" w:line="276"/>
        <w:jc w:val="both"/>
      </w:pPr>
      <w:r>
        <w:rPr>
          <w:rFonts w:ascii="Calibri" w:cs="Calibri" w:eastAsia="Calibri" w:hAnsi="Calibri"/>
          <w:color w:val="1C2833"/>
          <w:sz w:val="21"/>
          <w:szCs w:val="21"/>
        </w:rPr>
        <w:t xml:space="preserve">Dans un environnement confiné comme un tunnel de métro, le signal subit des réflexions multiples sur les parois, le sol et le matériel roulant. Le récepteur reçoit la superposition de copies du signal, arrivées avec des retards et des atténuations différents. Cette interférence entre répliques engendre des fluctuations rapides d’amplitude et de phase, appelées fading.</w:t>
      </w:r>
    </w:p>
    <w:p>
      <w:pPr>
        <w:spacing w:after="120" w:line="276"/>
        <w:jc w:val="both"/>
      </w:pPr>
      <w:r>
        <w:rPr>
          <w:rFonts w:ascii="Calibri" w:cs="Calibri" w:eastAsia="Calibri" w:hAnsi="Calibri"/>
          <w:color w:val="1C2833"/>
          <w:sz w:val="21"/>
          <w:szCs w:val="21"/>
        </w:rPr>
        <w:t xml:space="preserve">En l’absence de trajet direct (NLOS), l’enveloppe du signal reçu suit une loi de Rayleigh. La densité de probabilité de l’amplitude α est p(α) = (2α/Ω)·exp(−α²/Ω), où Ω = E[α²].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12"/>
              <w:bottom w:val="single" w:color="F39C12" w:sz="1"/>
              <w:right w:val="single" w:color="F39C12" w:sz="1"/>
            </w:tcBorders>
            <w:shd w:fill="FEF9E7" w:val="clear"/>
            <w:tcMar>
              <w:top w:type="dxa" w:w="100"/>
              <w:left w:type="dxa" w:w="200"/>
              <w:bottom w:type="dxa" w:w="100"/>
              <w:right w:type="dxa" w:w="200"/>
            </w:tcMar>
          </w:tcPr>
          <w:p>
            <w:pPr>
              <w:spacing w:after="80"/>
            </w:pPr>
            <w:r>
              <w:rPr>
                <w:rFonts w:ascii="Georgia" w:cs="Georgia" w:eastAsia="Georgia" w:hAnsi="Georgia"/>
                <w:b/>
                <w:bCs/>
                <w:color w:val="F39C12"/>
                <w:sz w:val="21"/>
                <w:szCs w:val="21"/>
              </w:rPr>
              <w:t xml:space="preserve">Comparaison clé à présenter</w:t>
            </w:r>
          </w:p>
          <w:p>
            <w:pPr>
              <w:spacing w:after="40" w:line="260"/>
              <w:jc w:val="both"/>
            </w:pPr>
            <w:r>
              <w:rPr>
                <w:rFonts w:ascii="Calibri" w:cs="Calibri" w:eastAsia="Calibri" w:hAnsi="Calibri"/>
                <w:color w:val="1C2833"/>
                <w:sz w:val="20"/>
                <w:szCs w:val="20"/>
              </w:rPr>
              <w:t xml:space="preserve">Montrer au jury la différence fondamentale entre le canal AWGN (bruit additif seul) et le canal de Rayleigh (bruit + évanouissement multiplicatif). Le canal de Rayleigh dégrade le BER de façon spectaculaire : la décroissance du BER passe d’exponentielle (AWGN) à hyperbolique en 1/(4·E_b/N_0) (Rayleigh). Ce contraste visuel sur une courbe BER vs SNR est un résultat très fort.</w:t>
            </w:r>
          </w:p>
        </w:tc>
      </w:tr>
    </w:tbl>
    <w:p>
      <w:pPr>
        <w:spacing w:after="60"/>
      </w:pPr>
    </w:p>
    <w:p>
      <w:pPr>
        <w:spacing w:after="120" w:line="276"/>
        <w:jc w:val="both"/>
      </w:pPr>
      <w:r>
        <w:rPr>
          <w:rFonts w:ascii="Calibri" w:cs="Calibri" w:eastAsia="Calibri" w:hAnsi="Calibri"/>
          <w:b/>
          <w:bCs/>
          <w:color w:val="1C2833"/>
          <w:sz w:val="21"/>
          <w:szCs w:val="21"/>
        </w:rPr>
        <w:t xml:space="preserve">Références : </w:t>
      </w:r>
      <w:r>
        <w:rPr>
          <w:rFonts w:ascii="Calibri" w:cs="Calibri" w:eastAsia="Calibri" w:hAnsi="Calibri"/>
          <w:i/>
          <w:iCs/>
          <w:color w:val="1C2833"/>
          <w:sz w:val="21"/>
          <w:szCs w:val="21"/>
        </w:rPr>
        <w:t xml:space="preserve">M. K. Simon &amp; M.-S. Alouini, Digital Communication over Fading Channels, Wiley, 2000 [4] ; T. S. Rappaport, Wireless Communications, 2002 [5] ; A. Refaie Ali et al., Nature Scientific Reports, 2025 [6].</w:t>
      </w:r>
    </w:p>
    <w:p>
      <w:pPr>
        <w:spacing w:before="200" w:after="120"/>
      </w:pPr>
      <w:r>
        <w:rPr>
          <w:rFonts w:ascii="Georgia" w:cs="Georgia" w:eastAsia="Georgia" w:hAnsi="Georgia"/>
          <w:b/>
          <w:bCs/>
          <w:color w:val="1B4F72"/>
          <w:sz w:val="23"/>
          <w:szCs w:val="23"/>
        </w:rPr>
        <w:t xml:space="preserve">c) Erreurs en rafale (burst errors)</w:t>
      </w:r>
    </w:p>
    <w:p>
      <w:pPr>
        <w:spacing w:after="120" w:line="276"/>
        <w:jc w:val="both"/>
      </w:pPr>
      <w:r>
        <w:rPr>
          <w:rFonts w:ascii="Calibri" w:cs="Calibri" w:eastAsia="Calibri" w:hAnsi="Calibri"/>
          <w:color w:val="1C2833"/>
          <w:sz w:val="21"/>
          <w:szCs w:val="21"/>
        </w:rPr>
        <w:t xml:space="preserve">Certaines perturbations (interférences impulsionnelles, commutations, évanouissements profonds temporaires) provoquent des erreurs groupées plutôt que des erreurs isolées. Ces burst errors sont particulièrement problématiques car elles dépassent la capacité de correction des codes correcteurs classiques. Cette observation motive l’introduction de l’interleaving en partie III.</w:t>
      </w:r>
    </w:p>
    <w:p>
      <w:pPr>
        <w:pStyle w:val="Heading2"/>
        <w:pBdr>
          <w:bottom w:val="single" w:color="2E86C1" w:sz="2" w:space="4"/>
        </w:pBdr>
        <w:spacing w:before="280" w:after="160"/>
      </w:pPr>
      <w:r>
        <w:rPr>
          <w:rFonts w:ascii="Georgia" w:cs="Georgia" w:eastAsia="Georgia" w:hAnsi="Georgia"/>
          <w:b/>
          <w:bCs/>
          <w:color w:val="2E86C1"/>
          <w:sz w:val="26"/>
          <w:szCs w:val="26"/>
        </w:rPr>
        <w:t xml:space="preserve">I.3 Modélisation retenue : le canal AWGN</w:t>
      </w:r>
    </w:p>
    <w:p>
      <w:pPr>
        <w:spacing w:after="120" w:line="276"/>
        <w:jc w:val="both"/>
      </w:pPr>
      <w:r>
        <w:rPr>
          <w:rFonts w:ascii="Calibri" w:cs="Calibri" w:eastAsia="Calibri" w:hAnsi="Calibri"/>
          <w:color w:val="1C2833"/>
          <w:sz w:val="21"/>
          <w:szCs w:val="21"/>
        </w:rPr>
        <w:t xml:space="preserve">Le modèle AWGN (Additive White Gaussian Noise) est retenu comme modèle de référence. Sa justification théorique repose sur le théorème central limite : la superposition de nombreuses sources de bruit indépendantes (thermique, industriel, cosmique) tend vers une distribution gaussienne. Le signal reçu s’écrit r(t) = s(t) + n(t), où n(t) est un processus gaussien de densité spectrale bilatérale N₀/2.</w:t>
      </w:r>
    </w:p>
    <w:p>
      <w:pPr>
        <w:spacing w:after="120" w:line="276"/>
        <w:jc w:val="both"/>
      </w:pPr>
      <w:r>
        <w:rPr>
          <w:rFonts w:ascii="Calibri" w:cs="Calibri" w:eastAsia="Calibri" w:hAnsi="Calibri"/>
          <w:b/>
          <w:bCs/>
          <w:color w:val="E74C3C"/>
          <w:sz w:val="21"/>
          <w:szCs w:val="21"/>
        </w:rPr>
        <w:t xml:space="preserve">Ce qu’il faut montrer : </w:t>
      </w:r>
      <w:r>
        <w:rPr>
          <w:rFonts w:ascii="Calibri" w:cs="Calibri" w:eastAsia="Calibri" w:hAnsi="Calibri"/>
          <w:color w:val="1C2833"/>
          <w:sz w:val="21"/>
          <w:szCs w:val="21"/>
        </w:rPr>
        <w:t xml:space="preserve">L’implémentation Python de la fonction awgn(s, SNR_dB, L) avec le calcul correct de la variance du bruit : σ² = N₀/2 = E_b/(2·SNR_b). Détailler la chaîne de dimensionnement P_s → E_b → N₀ → σ.</w:t>
      </w:r>
    </w:p>
    <w:p>
      <w:pPr>
        <w:spacing w:after="60"/>
      </w:pPr>
    </w:p>
    <w:p>
      <w:pPr>
        <w:pStyle w:val="Heading2"/>
        <w:pBdr>
          <w:bottom w:val="single" w:color="2E86C1" w:sz="2" w:space="4"/>
        </w:pBdr>
        <w:spacing w:before="280" w:after="160"/>
      </w:pPr>
      <w:r>
        <w:rPr>
          <w:rFonts w:ascii="Georgia" w:cs="Georgia" w:eastAsia="Georgia" w:hAnsi="Georgia"/>
          <w:b/>
          <w:bCs/>
          <w:color w:val="2E86C1"/>
          <w:sz w:val="26"/>
          <w:szCs w:val="26"/>
        </w:rPr>
        <w:t xml:space="preserve">I.4 Résultats à produire pour la Partie I</w:t>
      </w:r>
    </w:p>
    <w:p>
      <w:pPr>
        <w:spacing w:after="120" w:line="276"/>
        <w:jc w:val="both"/>
      </w:pPr>
      <w:r>
        <w:rPr>
          <w:rFonts w:ascii="Calibri" w:cs="Calibri" w:eastAsia="Calibri" w:hAnsi="Calibri"/>
          <w:color w:val="1C2833"/>
          <w:sz w:val="21"/>
          <w:szCs w:val="21"/>
        </w:rPr>
        <w:t xml:space="preserve">• Schéma bloc de la chaîne de transmission : Source → Modulateur → Canal (AWGN / Rayleigh) → Démodulateur → Détecteur</w:t>
      </w:r>
    </w:p>
    <w:p>
      <w:pPr>
        <w:spacing w:after="120" w:line="276"/>
        <w:jc w:val="both"/>
      </w:pPr>
      <w:r>
        <w:rPr>
          <w:rFonts w:ascii="Calibri" w:cs="Calibri" w:eastAsia="Calibri" w:hAnsi="Calibri"/>
          <w:color w:val="1C2833"/>
          <w:sz w:val="21"/>
          <w:szCs w:val="21"/>
        </w:rPr>
        <w:t xml:space="preserve">• Application numérique du bruit thermique (ordre de grandeur)</w:t>
      </w:r>
    </w:p>
    <w:p>
      <w:pPr>
        <w:spacing w:after="120" w:line="276"/>
        <w:jc w:val="both"/>
      </w:pPr>
      <w:r>
        <w:rPr>
          <w:rFonts w:ascii="Calibri" w:cs="Calibri" w:eastAsia="Calibri" w:hAnsi="Calibri"/>
          <w:color w:val="1C2833"/>
          <w:sz w:val="21"/>
          <w:szCs w:val="21"/>
        </w:rPr>
        <w:t xml:space="preserve">• Histogramme du bruit AWGN généré superposé à la densité gaussienne théorique (validation du générateur)</w:t>
      </w:r>
    </w:p>
    <w:p>
      <w:pPr>
        <w:spacing w:after="120" w:line="276"/>
        <w:jc w:val="both"/>
      </w:pPr>
      <w:r>
        <w:rPr>
          <w:rFonts w:ascii="Calibri" w:cs="Calibri" w:eastAsia="Calibri" w:hAnsi="Calibri"/>
          <w:color w:val="1C2833"/>
          <w:sz w:val="21"/>
          <w:szCs w:val="21"/>
        </w:rPr>
        <w:t xml:space="preserve">• Histogramme de l’enveloppe du signal en canal de Rayleigh superposé à la loi théorique</w:t>
      </w:r>
    </w:p>
    <w:p>
      <w:r>
        <w:br w:type="page"/>
      </w:r>
    </w:p>
    <w:p>
      <w:pPr>
        <w:pStyle w:val="Heading1"/>
        <w:spacing w:before="360" w:after="200"/>
      </w:pPr>
      <w:r>
        <w:rPr>
          <w:rFonts w:ascii="Georgia" w:cs="Georgia" w:eastAsia="Georgia" w:hAnsi="Georgia"/>
          <w:b/>
          <w:bCs/>
          <w:color w:val="1B4F72"/>
          <w:sz w:val="30"/>
          <w:szCs w:val="30"/>
        </w:rPr>
        <w:t xml:space="preserve">Partie II — Modulations numériques : simulation et comparaison</w:t>
      </w:r>
    </w:p>
    <w:p>
      <w:pPr>
        <w:pStyle w:val="Heading2"/>
        <w:pBdr>
          <w:bottom w:val="single" w:color="2E86C1" w:sz="2" w:space="4"/>
        </w:pBdr>
        <w:spacing w:before="280" w:after="160"/>
      </w:pPr>
      <w:r>
        <w:rPr>
          <w:rFonts w:ascii="Georgia" w:cs="Georgia" w:eastAsia="Georgia" w:hAnsi="Georgia"/>
          <w:b/>
          <w:bCs/>
          <w:color w:val="2E86C1"/>
          <w:sz w:val="26"/>
          <w:szCs w:val="26"/>
        </w:rPr>
        <w:t xml:space="preserve">II.1 Principe général de la modulation numérique</w:t>
      </w:r>
    </w:p>
    <w:p>
      <w:pPr>
        <w:spacing w:after="120" w:line="276"/>
        <w:jc w:val="both"/>
      </w:pPr>
      <w:r>
        <w:rPr>
          <w:rFonts w:ascii="Calibri" w:cs="Calibri" w:eastAsia="Calibri" w:hAnsi="Calibri"/>
          <w:color w:val="1C2833"/>
          <w:sz w:val="21"/>
          <w:szCs w:val="21"/>
        </w:rPr>
        <w:t xml:space="preserve">Expliquer pourquoi la modulation est nécessaire : transposer le signal en bande de base vers une fréquence porteuse adaptée au canal de propagation. La modulation consiste à faire varier un ou plusieurs paramètres d’une onde sinusoïdale (amplitude, fréquence, phase) en fonction des symboles à transmettre. Présenter le schéma générique : données binaires → mapping de symboles → modulation → canal → démodulation cohérente → détection (norme euclidienne minimale dans la constellation de référence).</w:t>
      </w:r>
    </w:p>
    <w:p>
      <w:pPr>
        <w:pStyle w:val="Heading2"/>
        <w:pBdr>
          <w:bottom w:val="single" w:color="2E86C1" w:sz="2" w:space="4"/>
        </w:pBdr>
        <w:spacing w:before="280" w:after="160"/>
      </w:pPr>
      <w:r>
        <w:rPr>
          <w:rFonts w:ascii="Georgia" w:cs="Georgia" w:eastAsia="Georgia" w:hAnsi="Georgia"/>
          <w:b/>
          <w:bCs/>
          <w:color w:val="2E86C1"/>
          <w:sz w:val="26"/>
          <w:szCs w:val="26"/>
        </w:rPr>
        <w:t xml:space="preserve">II.2 Métriques de performance</w:t>
      </w:r>
    </w:p>
    <w:p>
      <w:pPr>
        <w:spacing w:before="200" w:after="120"/>
      </w:pPr>
      <w:r>
        <w:rPr>
          <w:rFonts w:ascii="Georgia" w:cs="Georgia" w:eastAsia="Georgia" w:hAnsi="Georgia"/>
          <w:b/>
          <w:bCs/>
          <w:color w:val="1B4F72"/>
          <w:sz w:val="23"/>
          <w:szCs w:val="23"/>
        </w:rPr>
        <w:t xml:space="preserve">a) Rapport signal sur bruit (SNR et E_b/N₀)</w:t>
      </w:r>
    </w:p>
    <w:p>
      <w:pPr>
        <w:spacing w:after="120" w:line="276"/>
        <w:jc w:val="both"/>
      </w:pPr>
      <w:r>
        <w:rPr>
          <w:rFonts w:ascii="Calibri" w:cs="Calibri" w:eastAsia="Calibri" w:hAnsi="Calibri"/>
          <w:color w:val="1C2833"/>
          <w:sz w:val="21"/>
          <w:szCs w:val="21"/>
        </w:rPr>
        <w:t xml:space="preserve">Le SNR mesure la puissance du signal utile rapportée à la puissance du bruit : SNR = P_signal / P_bruit. Pour comparer équitablement des modulations de débits différents, on utilise le SNR par bit E_b/N₀, où E_b est l’énergie par bit et N₀ la densité spectrale du bruit. La relation entre les deux dépend du nombre de bits par symbole k : E_s/N₀ = k · E_b/N₀.</w:t>
      </w:r>
    </w:p>
    <w:p>
      <w:pPr>
        <w:spacing w:before="200" w:after="120"/>
      </w:pPr>
      <w:r>
        <w:rPr>
          <w:rFonts w:ascii="Georgia" w:cs="Georgia" w:eastAsia="Georgia" w:hAnsi="Georgia"/>
          <w:b/>
          <w:bCs/>
          <w:color w:val="1B4F72"/>
          <w:sz w:val="23"/>
          <w:szCs w:val="23"/>
        </w:rPr>
        <w:t xml:space="preserve">b) Taux d’erreur binaire (BER)</w:t>
      </w:r>
    </w:p>
    <w:p>
      <w:pPr>
        <w:spacing w:after="120" w:line="276"/>
        <w:jc w:val="both"/>
      </w:pPr>
      <w:r>
        <w:rPr>
          <w:rFonts w:ascii="Calibri" w:cs="Calibri" w:eastAsia="Calibri" w:hAnsi="Calibri"/>
          <w:color w:val="1C2833"/>
          <w:sz w:val="21"/>
          <w:szCs w:val="21"/>
        </w:rPr>
        <w:t xml:space="preserve">Le BER est le ratio entre le nombre de bits erronés et le nombre total de bits transmis. C’est la métrique centrale du TIPE. Pour chaque modulation, une expression analytique exacte du BER en canal AWGN existe (cf. Proakis [4]) et sera confrontée aux résultats de simulation.</w:t>
      </w:r>
    </w:p>
    <w:p>
      <w:pPr>
        <w:spacing w:before="200" w:after="120"/>
      </w:pPr>
      <w:r>
        <w:rPr>
          <w:rFonts w:ascii="Georgia" w:cs="Georgia" w:eastAsia="Georgia" w:hAnsi="Georgia"/>
          <w:b/>
          <w:bCs/>
          <w:color w:val="1B4F72"/>
          <w:sz w:val="23"/>
          <w:szCs w:val="23"/>
        </w:rPr>
        <w:t xml:space="preserve">c) Efficacité spectrale</w:t>
      </w:r>
    </w:p>
    <w:p>
      <w:pPr>
        <w:spacing w:after="120" w:line="276"/>
        <w:jc w:val="both"/>
      </w:pPr>
      <w:r>
        <w:rPr>
          <w:rFonts w:ascii="Calibri" w:cs="Calibri" w:eastAsia="Calibri" w:hAnsi="Calibri"/>
          <w:color w:val="1C2833"/>
          <w:sz w:val="21"/>
          <w:szCs w:val="21"/>
        </w:rPr>
        <w:t xml:space="preserve">L’efficacité spectrale η = Débit / Bande passante (en bit/s/Hz) traduit la capacité d’une modulation à transmettre un maximum de données dans une bande fréquentielle donnée. Il existe un compromis fondamental entre efficacité spectrale et robustesse au bruit.</w:t>
      </w:r>
    </w:p>
    <w:p>
      <w:pPr>
        <w:spacing w:before="200" w:after="120"/>
      </w:pPr>
      <w:r>
        <w:rPr>
          <w:rFonts w:ascii="Georgia" w:cs="Georgia" w:eastAsia="Georgia" w:hAnsi="Georgia"/>
          <w:b/>
          <w:bCs/>
          <w:color w:val="1B4F72"/>
          <w:sz w:val="23"/>
          <w:szCs w:val="23"/>
        </w:rPr>
        <w:t xml:space="preserve">d) Diagramme de constellation et EVM</w:t>
      </w:r>
    </w:p>
    <w:p>
      <w:pPr>
        <w:spacing w:after="120" w:line="276"/>
        <w:jc w:val="both"/>
      </w:pPr>
      <w:r>
        <w:rPr>
          <w:rFonts w:ascii="Calibri" w:cs="Calibri" w:eastAsia="Calibri" w:hAnsi="Calibri"/>
          <w:color w:val="1C2833"/>
          <w:sz w:val="21"/>
          <w:szCs w:val="21"/>
        </w:rPr>
        <w:t xml:space="preserve">Le diagramme de constellation représente les symboles reçus dans le plan complexe (I, Q). L’EVM (Error Vector Magnitude) quantifie l’écart moyen entre les symboles reçus et les symboles idéaux. C’est une métrique complémentaire au BER qui permet de visualiser la qualité du signal.</w:t>
      </w:r>
    </w:p>
    <w:p>
      <w:pPr>
        <w:spacing w:after="60"/>
      </w:pPr>
    </w:p>
    <w:p>
      <w:pPr>
        <w:pStyle w:val="Heading2"/>
        <w:pBdr>
          <w:bottom w:val="single" w:color="2E86C1" w:sz="2" w:space="4"/>
        </w:pBdr>
        <w:spacing w:before="280" w:after="160"/>
      </w:pPr>
      <w:r>
        <w:rPr>
          <w:rFonts w:ascii="Georgia" w:cs="Georgia" w:eastAsia="Georgia" w:hAnsi="Georgia"/>
          <w:b/>
          <w:bCs/>
          <w:color w:val="2E86C1"/>
          <w:sz w:val="26"/>
          <w:szCs w:val="26"/>
        </w:rPr>
        <w:t xml:space="preserve">II.3 Modulations étudiées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13"/>
        <w:gridCol w:w="2013"/>
        <w:gridCol w:w="200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Modulation</w:t>
            </w:r>
          </w:p>
        </w:tc>
        <w:tc>
          <w:tcPr>
            <w:tcW w:type="dxa" w:w="15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Bits/symbole</w:t>
            </w:r>
          </w:p>
        </w:tc>
        <w:tc>
          <w:tcPr>
            <w:tcW w:type="dxa" w:w="2013"/>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Efficacité spectrale</w:t>
            </w:r>
          </w:p>
        </w:tc>
        <w:tc>
          <w:tcPr>
            <w:tcW w:type="dxa" w:w="2013"/>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BER théorique (AWGN)</w:t>
            </w:r>
          </w:p>
        </w:tc>
        <w:tc>
          <w:tcPr>
            <w:tcW w:type="dxa" w:w="2000"/>
            <w:tcBorders>
              <w:top w:val="single" w:color="BDC3C7" w:sz="1"/>
              <w:left w:val="single" w:color="BDC3C7" w:sz="1"/>
              <w:bottom w:val="single" w:color="BDC3C7" w:sz="1"/>
              <w:right w:val="single" w:color="BDC3C7" w:sz="1"/>
            </w:tcBorders>
            <w:shd w:fill="1B4F72" w:val="clear"/>
            <w:tcMar>
              <w:top w:type="dxa" w:w="60"/>
              <w:left w:type="dxa" w:w="80"/>
              <w:bottom w:type="dxa" w:w="60"/>
              <w:right w:type="dxa" w:w="80"/>
            </w:tcMar>
          </w:tcPr>
          <w:p>
            <w:pPr>
              <w:jc w:val="center"/>
            </w:pPr>
            <w:r>
              <w:rPr>
                <w:rFonts w:ascii="Calibri" w:cs="Calibri" w:eastAsia="Calibri" w:hAnsi="Calibri"/>
                <w:b/>
                <w:bCs/>
                <w:color w:val="FFFFFF"/>
                <w:sz w:val="19"/>
                <w:szCs w:val="19"/>
              </w:rPr>
              <w:t xml:space="preserve">État</w:t>
            </w:r>
          </w:p>
        </w:tc>
      </w:tr>
      <w:tr>
        <w:tc>
          <w:tcPr>
            <w:tcW w:type="dxa" w:w="15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color w:val="1C2833"/>
                <w:sz w:val="19"/>
                <w:szCs w:val="19"/>
              </w:rPr>
              <w:t xml:space="preserve">BPSK</w:t>
            </w:r>
          </w:p>
        </w:tc>
        <w:tc>
          <w:tcPr>
            <w:tcW w:type="dxa" w:w="15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color w:val="1C2833"/>
                <w:sz w:val="19"/>
                <w:szCs w:val="19"/>
              </w:rPr>
              <w:t xml:space="preserve">1</w:t>
            </w:r>
          </w:p>
        </w:tc>
        <w:tc>
          <w:tcPr>
            <w:tcW w:type="dxa" w:w="2013"/>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color w:val="1C2833"/>
                <w:sz w:val="19"/>
                <w:szCs w:val="19"/>
              </w:rPr>
              <w:t xml:space="preserve">1 bit/s/Hz</w:t>
            </w:r>
          </w:p>
        </w:tc>
        <w:tc>
          <w:tcPr>
            <w:tcW w:type="dxa" w:w="2013"/>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color w:val="1C2833"/>
                <w:sz w:val="19"/>
                <w:szCs w:val="19"/>
              </w:rPr>
              <w:t xml:space="preserve">½ erfc(√(E_b/N₀))</w:t>
            </w:r>
          </w:p>
        </w:tc>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color w:val="1ABC9C"/>
                <w:sz w:val="19"/>
                <w:szCs w:val="19"/>
              </w:rPr>
              <w:t xml:space="preserve">Fait ✓</w:t>
            </w:r>
          </w:p>
        </w:tc>
      </w:tr>
      <w:tr>
        <w:tc>
          <w:tcPr>
            <w:tcW w:type="dxa" w:w="15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color w:val="1C2833"/>
                <w:sz w:val="19"/>
                <w:szCs w:val="19"/>
              </w:rPr>
              <w:t xml:space="preserve">QPSK</w:t>
            </w:r>
          </w:p>
        </w:tc>
        <w:tc>
          <w:tcPr>
            <w:tcW w:type="dxa" w:w="15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color w:val="1C2833"/>
                <w:sz w:val="19"/>
                <w:szCs w:val="19"/>
              </w:rPr>
              <w:t xml:space="preserve">2</w:t>
            </w:r>
          </w:p>
        </w:tc>
        <w:tc>
          <w:tcPr>
            <w:tcW w:type="dxa" w:w="2013"/>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color w:val="1C2833"/>
                <w:sz w:val="19"/>
                <w:szCs w:val="19"/>
              </w:rPr>
              <w:t xml:space="preserve">2 bit/s/Hz</w:t>
            </w:r>
          </w:p>
        </w:tc>
        <w:tc>
          <w:tcPr>
            <w:tcW w:type="dxa" w:w="2013"/>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color w:val="1C2833"/>
                <w:sz w:val="19"/>
                <w:szCs w:val="19"/>
              </w:rPr>
              <w:t xml:space="preserve">½ erfc(√(E_b/N₀))</w:t>
            </w:r>
          </w:p>
        </w:tc>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color w:val="1ABC9C"/>
                <w:sz w:val="19"/>
                <w:szCs w:val="19"/>
              </w:rPr>
              <w:t xml:space="preserve">Fait ✓</w:t>
            </w:r>
          </w:p>
        </w:tc>
      </w:tr>
      <w:tr>
        <w:tc>
          <w:tcPr>
            <w:tcW w:type="dxa" w:w="15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color w:val="1C2833"/>
                <w:sz w:val="19"/>
                <w:szCs w:val="19"/>
              </w:rPr>
              <w:t xml:space="preserve">16-QAM</w:t>
            </w:r>
          </w:p>
        </w:tc>
        <w:tc>
          <w:tcPr>
            <w:tcW w:type="dxa" w:w="15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color w:val="1C2833"/>
                <w:sz w:val="19"/>
                <w:szCs w:val="19"/>
              </w:rPr>
              <w:t xml:space="preserve">4</w:t>
            </w:r>
          </w:p>
        </w:tc>
        <w:tc>
          <w:tcPr>
            <w:tcW w:type="dxa" w:w="2013"/>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color w:val="1C2833"/>
                <w:sz w:val="19"/>
                <w:szCs w:val="19"/>
              </w:rPr>
              <w:t xml:space="preserve">4 bit/s/Hz</w:t>
            </w:r>
          </w:p>
        </w:tc>
        <w:tc>
          <w:tcPr>
            <w:tcW w:type="dxa" w:w="2013"/>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color w:val="1C2833"/>
                <w:sz w:val="19"/>
                <w:szCs w:val="19"/>
              </w:rPr>
              <w:t xml:space="preserve">≈ (3/8) erfc(√(...))</w:t>
            </w:r>
          </w:p>
        </w:tc>
        <w:tc>
          <w:tcPr>
            <w:tcW w:type="dxa" w:w="20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color w:val="1C2833"/>
                <w:sz w:val="19"/>
                <w:szCs w:val="19"/>
              </w:rPr>
              <w:t xml:space="preserve">À faire</w:t>
            </w:r>
          </w:p>
        </w:tc>
      </w:tr>
      <w:tr>
        <w:tc>
          <w:tcPr>
            <w:tcW w:type="dxa" w:w="15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color w:val="1C2833"/>
                <w:sz w:val="19"/>
                <w:szCs w:val="19"/>
              </w:rPr>
              <w:t xml:space="preserve">BFSK</w:t>
            </w:r>
          </w:p>
        </w:tc>
        <w:tc>
          <w:tcPr>
            <w:tcW w:type="dxa" w:w="15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color w:val="1C2833"/>
                <w:sz w:val="19"/>
                <w:szCs w:val="19"/>
              </w:rPr>
              <w:t xml:space="preserve">1</w:t>
            </w:r>
          </w:p>
        </w:tc>
        <w:tc>
          <w:tcPr>
            <w:tcW w:type="dxa" w:w="2013"/>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color w:val="1C2833"/>
                <w:sz w:val="19"/>
                <w:szCs w:val="19"/>
              </w:rPr>
              <w:t xml:space="preserve">&lt; 1 bit/s/Hz</w:t>
            </w:r>
          </w:p>
        </w:tc>
        <w:tc>
          <w:tcPr>
            <w:tcW w:type="dxa" w:w="2013"/>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color w:val="1C2833"/>
                <w:sz w:val="19"/>
                <w:szCs w:val="19"/>
              </w:rPr>
              <w:t xml:space="preserve">½ erfc(√(E_b/2N₀))</w:t>
            </w:r>
          </w:p>
        </w:tc>
        <w:tc>
          <w:tcPr>
            <w:tcW w:type="dxa" w:w="20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color w:val="1C2833"/>
                <w:sz w:val="19"/>
                <w:szCs w:val="19"/>
              </w:rPr>
              <w:t xml:space="preserve">À faire</w:t>
            </w:r>
          </w:p>
        </w:tc>
      </w:tr>
    </w:tbl>
    <w:p>
      <w:pPr>
        <w:spacing w:after="60"/>
      </w:pPr>
    </w:p>
    <w:p>
      <w:pPr>
        <w:pStyle w:val="Heading2"/>
        <w:pBdr>
          <w:bottom w:val="single" w:color="2E86C1" w:sz="2" w:space="4"/>
        </w:pBdr>
        <w:spacing w:before="280" w:after="160"/>
      </w:pPr>
      <w:r>
        <w:rPr>
          <w:rFonts w:ascii="Georgia" w:cs="Georgia" w:eastAsia="Georgia" w:hAnsi="Georgia"/>
          <w:b/>
          <w:bCs/>
          <w:color w:val="2E86C1"/>
          <w:sz w:val="26"/>
          <w:szCs w:val="26"/>
        </w:rPr>
        <w:t xml:space="preserve">II.4 Détail de chaque modulation</w:t>
      </w:r>
    </w:p>
    <w:p>
      <w:pPr>
        <w:spacing w:before="200" w:after="120"/>
      </w:pPr>
      <w:r>
        <w:rPr>
          <w:rFonts w:ascii="Georgia" w:cs="Georgia" w:eastAsia="Georgia" w:hAnsi="Georgia"/>
          <w:b/>
          <w:bCs/>
          <w:color w:val="1B4F72"/>
          <w:sz w:val="23"/>
          <w:szCs w:val="23"/>
        </w:rPr>
        <w:t xml:space="preserve">a) BPSK (Binary Phase Shift Keying) — déjà implémenté</w:t>
      </w:r>
    </w:p>
    <w:p>
      <w:pPr>
        <w:spacing w:after="120" w:line="276"/>
        <w:jc w:val="both"/>
      </w:pPr>
      <w:r>
        <w:rPr>
          <w:rFonts w:ascii="Calibri" w:cs="Calibri" w:eastAsia="Calibri" w:hAnsi="Calibri"/>
          <w:color w:val="1C2833"/>
          <w:sz w:val="21"/>
          <w:szCs w:val="21"/>
        </w:rPr>
        <w:t xml:space="preserve">Principe : chaque bit est mappé sur une phase de la porteuse (0 ou π). Le signal s’écrit s(t) = ±cos(2πf_c t). La démodulation cohérente consiste à multiplier par la porteuse locale puis à intégrer sur la durée d’un bit (corrélation), suivie d’un seuillage.</w:t>
      </w:r>
    </w:p>
    <w:p>
      <w:pPr>
        <w:spacing w:after="120" w:line="276"/>
        <w:jc w:val="both"/>
      </w:pPr>
      <w:r>
        <w:rPr>
          <w:rFonts w:ascii="Calibri" w:cs="Calibri" w:eastAsia="Calibri" w:hAnsi="Calibri"/>
          <w:b/>
          <w:bCs/>
          <w:color w:val="1C2833"/>
          <w:sz w:val="21"/>
          <w:szCs w:val="21"/>
        </w:rPr>
        <w:t xml:space="preserve">Point clé à expliquer : </w:t>
      </w:r>
      <w:r>
        <w:rPr>
          <w:rFonts w:ascii="Calibri" w:cs="Calibri" w:eastAsia="Calibri" w:hAnsi="Calibri"/>
          <w:color w:val="1C2833"/>
          <w:sz w:val="21"/>
          <w:szCs w:val="21"/>
        </w:rPr>
        <w:t xml:space="preserve">montrer mathématiquement que déphaser de π revient à multiplier par −1, d’où l’équivalence avec le codage NRZ. Démontrer la formule théorique du BER : P_b = ½·erfc(√(E_b/N₀)).</w:t>
      </w:r>
    </w:p>
    <w:p>
      <w:pPr>
        <w:spacing w:before="200" w:after="120"/>
      </w:pPr>
      <w:r>
        <w:rPr>
          <w:rFonts w:ascii="Georgia" w:cs="Georgia" w:eastAsia="Georgia" w:hAnsi="Georgia"/>
          <w:b/>
          <w:bCs/>
          <w:color w:val="1B4F72"/>
          <w:sz w:val="23"/>
          <w:szCs w:val="23"/>
        </w:rPr>
        <w:t xml:space="preserve">b) QPSK (Quadrature Phase Shift Keying) — déjà implémenté</w:t>
      </w:r>
    </w:p>
    <w:p>
      <w:pPr>
        <w:spacing w:after="120" w:line="276"/>
        <w:jc w:val="both"/>
      </w:pPr>
      <w:r>
        <w:rPr>
          <w:rFonts w:ascii="Calibri" w:cs="Calibri" w:eastAsia="Calibri" w:hAnsi="Calibri"/>
          <w:color w:val="1C2833"/>
          <w:sz w:val="21"/>
          <w:szCs w:val="21"/>
        </w:rPr>
        <w:t xml:space="preserve">Principe : deux bits sont transmis simultanément en modulant deux porteuses en quadrature (I et Q). L’efficacité spectrale double par rapport à BPSK sans dégradation du BER par 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BC9C" w:sz="1"/>
              <w:left w:val="single" w:color="1ABC9C" w:sz="12"/>
              <w:bottom w:val="single" w:color="1ABC9C" w:sz="1"/>
              <w:right w:val="single" w:color="1ABC9C" w:sz="1"/>
            </w:tcBorders>
            <w:shd w:fill="E8F8F5" w:val="clear"/>
            <w:tcMar>
              <w:top w:type="dxa" w:w="100"/>
              <w:left w:type="dxa" w:w="200"/>
              <w:bottom w:type="dxa" w:w="100"/>
              <w:right w:type="dxa" w:w="200"/>
            </w:tcMar>
          </w:tcPr>
          <w:p>
            <w:pPr>
              <w:spacing w:after="80"/>
            </w:pPr>
            <w:r>
              <w:rPr>
                <w:rFonts w:ascii="Georgia" w:cs="Georgia" w:eastAsia="Georgia" w:hAnsi="Georgia"/>
                <w:b/>
                <w:bCs/>
                <w:color w:val="1ABC9C"/>
                <w:sz w:val="21"/>
                <w:szCs w:val="21"/>
              </w:rPr>
              <w:t xml:space="preserve">Comparaison intéressante BPSK vs QPSK</w:t>
            </w:r>
          </w:p>
          <w:p>
            <w:pPr>
              <w:spacing w:after="40" w:line="260"/>
              <w:jc w:val="both"/>
            </w:pPr>
            <w:r>
              <w:rPr>
                <w:rFonts w:ascii="Calibri" w:cs="Calibri" w:eastAsia="Calibri" w:hAnsi="Calibri"/>
                <w:color w:val="1C2833"/>
                <w:sz w:val="20"/>
                <w:szCs w:val="20"/>
              </w:rPr>
              <w:t xml:space="preserve">Les deux modulations ont le même BER par bit ! En effet, QPSK est équivalent à deux chaînes BPSK indépendantes en quadrature. La différence se situe au niveau de l’efficacité spectrale : QPSK transmet 2 bits par symbole contre 1 pour BPSK, à robustesse égale. C’est ce qui explique son utilisation massive dans les systèmes CBTC et les communications satellitaires.</w:t>
            </w:r>
          </w:p>
        </w:tc>
      </w:tr>
    </w:tbl>
    <w:p>
      <w:pPr>
        <w:spacing w:after="60"/>
      </w:pPr>
    </w:p>
    <w:p>
      <w:pPr>
        <w:spacing w:before="200" w:after="120"/>
      </w:pPr>
      <w:r>
        <w:rPr>
          <w:rFonts w:ascii="Georgia" w:cs="Georgia" w:eastAsia="Georgia" w:hAnsi="Georgia"/>
          <w:b/>
          <w:bCs/>
          <w:color w:val="1B4F72"/>
          <w:sz w:val="23"/>
          <w:szCs w:val="23"/>
        </w:rPr>
        <w:t xml:space="preserve">c) 16-QAM (Quadrature Amplitude Modulation) — à implémenter</w:t>
      </w:r>
    </w:p>
    <w:p>
      <w:pPr>
        <w:spacing w:after="120" w:line="276"/>
        <w:jc w:val="both"/>
      </w:pPr>
      <w:r>
        <w:rPr>
          <w:rFonts w:ascii="Calibri" w:cs="Calibri" w:eastAsia="Calibri" w:hAnsi="Calibri"/>
          <w:color w:val="1C2833"/>
          <w:sz w:val="21"/>
          <w:szCs w:val="21"/>
        </w:rPr>
        <w:t xml:space="preserve">Principe : 4 bits par symbole, constellation en grille 4×4 dans le plan (I, Q). On module à la fois l’amplitude et la phase. L’efficacité spectrale est de 4 bit/s/Hz, mais la distance minimale entre symboles est réduite, ce qui dégrade la robustesse au bruit.</w:t>
      </w:r>
    </w:p>
    <w:p>
      <w:pPr>
        <w:spacing w:after="120" w:line="276"/>
        <w:jc w:val="both"/>
      </w:pPr>
      <w:r>
        <w:rPr>
          <w:rFonts w:ascii="Calibri" w:cs="Calibri" w:eastAsia="Calibri" w:hAnsi="Calibri"/>
          <w:b/>
          <w:bCs/>
          <w:color w:val="E74C3C"/>
          <w:sz w:val="21"/>
          <w:szCs w:val="21"/>
        </w:rPr>
        <w:t xml:space="preserve">Résultat attendu : </w:t>
      </w:r>
      <w:r>
        <w:rPr>
          <w:rFonts w:ascii="Calibri" w:cs="Calibri" w:eastAsia="Calibri" w:hAnsi="Calibri"/>
          <w:color w:val="1C2833"/>
          <w:sz w:val="21"/>
          <w:szCs w:val="21"/>
        </w:rPr>
        <w:t xml:space="preserve">le 16-QAM nécessite environ 4 à 5 dB de plus que QPSK pour atteindre le même BER. Ce compromis débit/robustesse est le cœur de la comparaison.</w:t>
      </w:r>
    </w:p>
    <w:p>
      <w:pPr>
        <w:spacing w:before="200" w:after="120"/>
      </w:pPr>
      <w:r>
        <w:rPr>
          <w:rFonts w:ascii="Georgia" w:cs="Georgia" w:eastAsia="Georgia" w:hAnsi="Georgia"/>
          <w:b/>
          <w:bCs/>
          <w:color w:val="1B4F72"/>
          <w:sz w:val="23"/>
          <w:szCs w:val="23"/>
        </w:rPr>
        <w:t xml:space="preserve">d) BFSK (Binary Frequency Shift Keying) — à implémenter</w:t>
      </w:r>
    </w:p>
    <w:p>
      <w:pPr>
        <w:spacing w:after="120" w:line="276"/>
        <w:jc w:val="both"/>
      </w:pPr>
      <w:r>
        <w:rPr>
          <w:rFonts w:ascii="Calibri" w:cs="Calibri" w:eastAsia="Calibri" w:hAnsi="Calibri"/>
          <w:color w:val="1C2833"/>
          <w:sz w:val="21"/>
          <w:szCs w:val="21"/>
        </w:rPr>
        <w:t xml:space="preserve">Principe : l’information est portée par le choix entre deux fréquences distinctes. La BFSK est non cohérente par nature, ce qui simplifie le récepteur mais dégrade les performances d’environ 3 dB par rapport à BPSK. Son efficacité spectrale est inférieure à 1 bit/s/Hz mais elle présente une robustesse naturelle aux variations d’amplitude (fading).</w:t>
      </w:r>
    </w:p>
    <w:p>
      <w:r>
        <w:br w:type="page"/>
      </w:r>
    </w:p>
    <w:p>
      <w:pPr>
        <w:pStyle w:val="Heading2"/>
        <w:pBdr>
          <w:bottom w:val="single" w:color="2E86C1" w:sz="2" w:space="4"/>
        </w:pBdr>
        <w:spacing w:before="280" w:after="160"/>
      </w:pPr>
      <w:r>
        <w:rPr>
          <w:rFonts w:ascii="Georgia" w:cs="Georgia" w:eastAsia="Georgia" w:hAnsi="Georgia"/>
          <w:b/>
          <w:bCs/>
          <w:color w:val="2E86C1"/>
          <w:sz w:val="26"/>
          <w:szCs w:val="26"/>
        </w:rPr>
        <w:t xml:space="preserve">II.5 Résultats à produire — Le cœur du TIPE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12"/>
              <w:bottom w:val="single" w:color="F39C12" w:sz="1"/>
              <w:right w:val="single" w:color="F39C12" w:sz="1"/>
            </w:tcBorders>
            <w:shd w:fill="FEF9E7" w:val="clear"/>
            <w:tcMar>
              <w:top w:type="dxa" w:w="100"/>
              <w:left w:type="dxa" w:w="200"/>
              <w:bottom w:type="dxa" w:w="100"/>
              <w:right w:type="dxa" w:w="200"/>
            </w:tcMar>
          </w:tcPr>
          <w:p>
            <w:pPr>
              <w:spacing w:after="80"/>
            </w:pPr>
            <w:r>
              <w:rPr>
                <w:rFonts w:ascii="Georgia" w:cs="Georgia" w:eastAsia="Georgia" w:hAnsi="Georgia"/>
                <w:b/>
                <w:bCs/>
                <w:color w:val="F39C12"/>
                <w:sz w:val="21"/>
                <w:szCs w:val="21"/>
              </w:rPr>
              <w:t xml:space="preserve">GRAPHE CENTRAL — Le résultat le plus important</w:t>
            </w:r>
          </w:p>
          <w:p>
            <w:pPr>
              <w:spacing w:after="40" w:line="260"/>
              <w:jc w:val="both"/>
            </w:pPr>
            <w:r>
              <w:rPr>
                <w:rFonts w:ascii="Calibri" w:cs="Calibri" w:eastAsia="Calibri" w:hAnsi="Calibri"/>
                <w:color w:val="1C2833"/>
                <w:sz w:val="20"/>
                <w:szCs w:val="20"/>
              </w:rPr>
              <w:t xml:space="preserve">Courbes BER = f(E_b/N₀) pour les 4 modulations (BPSK, QPSK, 16-QAM, BFSK) sur un même graphe, en échelle semi-logarithmique. Superposer les points de simulation (marqueurs) aux courbes théoriques analytiques (traits continus). Plage de SNR recommandée : −4 à 16 dB. Ce graphe unique synthétise l’ensemble de la partie II et valide le simulateur.</w:t>
            </w:r>
          </w:p>
        </w:tc>
      </w:tr>
    </w:tbl>
    <w:p>
      <w:pPr>
        <w:spacing w:after="60"/>
      </w:pPr>
    </w:p>
    <w:p>
      <w:pPr>
        <w:spacing w:after="120" w:line="276"/>
        <w:jc w:val="both"/>
      </w:pPr>
      <w:r>
        <w:rPr>
          <w:rFonts w:ascii="Calibri" w:cs="Calibri" w:eastAsia="Calibri" w:hAnsi="Calibri"/>
          <w:color w:val="1C2833"/>
          <w:sz w:val="21"/>
          <w:szCs w:val="21"/>
        </w:rPr>
        <w:t xml:space="preserve">Autres résultats à préparer :</w:t>
      </w:r>
    </w:p>
    <w:p>
      <w:pPr>
        <w:spacing w:after="120" w:line="276"/>
        <w:jc w:val="both"/>
      </w:pPr>
      <w:r>
        <w:rPr>
          <w:rFonts w:ascii="Calibri" w:cs="Calibri" w:eastAsia="Calibri" w:hAnsi="Calibri"/>
          <w:color w:val="1C2833"/>
          <w:sz w:val="21"/>
          <w:szCs w:val="21"/>
        </w:rPr>
        <w:t xml:space="preserve">• Diagrammes de constellation bruités à différents SNR (par exemple 0 dB, 6 dB, 12 dB) pour QPSK et 16-QAM : montrer visuellement la dégradation progressive du signal.</w:t>
      </w:r>
    </w:p>
    <w:p>
      <w:pPr>
        <w:spacing w:after="120" w:line="276"/>
        <w:jc w:val="both"/>
      </w:pPr>
      <w:r>
        <w:rPr>
          <w:rFonts w:ascii="Calibri" w:cs="Calibri" w:eastAsia="Calibri" w:hAnsi="Calibri"/>
          <w:color w:val="1C2833"/>
          <w:sz w:val="21"/>
          <w:szCs w:val="21"/>
        </w:rPr>
        <w:t xml:space="preserve">• Spectres fréquentiels (DSP) de chaque modulation : comparer l’occupation spectrale et mettre en évidence l’étalement de BFSK vs la compacité de QPSK.</w:t>
      </w:r>
    </w:p>
    <w:p>
      <w:pPr>
        <w:spacing w:after="120" w:line="276"/>
        <w:jc w:val="both"/>
      </w:pPr>
      <w:r>
        <w:rPr>
          <w:rFonts w:ascii="Calibri" w:cs="Calibri" w:eastAsia="Calibri" w:hAnsi="Calibri"/>
          <w:color w:val="1C2833"/>
          <w:sz w:val="21"/>
          <w:szCs w:val="21"/>
        </w:rPr>
        <w:t xml:space="preserve">• Courbes BER en canal de Rayleigh (même format que le graphe central) : montrer la dégradation massive et l’intérêt du modèle de fading pour les tunnels.</w:t>
      </w:r>
    </w:p>
    <w:p>
      <w:pPr>
        <w:spacing w:after="120" w:line="276"/>
        <w:jc w:val="both"/>
      </w:pPr>
      <w:r>
        <w:rPr>
          <w:rFonts w:ascii="Calibri" w:cs="Calibri" w:eastAsia="Calibri" w:hAnsi="Calibri"/>
          <w:color w:val="1C2833"/>
          <w:sz w:val="21"/>
          <w:szCs w:val="21"/>
        </w:rPr>
        <w:t xml:space="preserve">• Tableau récapitulatif : pour un BER cible de 10⁻⁵, indiquer le E_b/N₀ requis par chaque modulation en canal AWGN et en canal Rayleigh.</w:t>
      </w:r>
    </w:p>
    <w:p>
      <w:pPr>
        <w:pStyle w:val="Heading2"/>
        <w:pBdr>
          <w:bottom w:val="single" w:color="2E86C1" w:sz="2" w:space="4"/>
        </w:pBdr>
        <w:spacing w:before="280" w:after="160"/>
      </w:pPr>
      <w:r>
        <w:rPr>
          <w:rFonts w:ascii="Georgia" w:cs="Georgia" w:eastAsia="Georgia" w:hAnsi="Georgia"/>
          <w:b/>
          <w:bCs/>
          <w:color w:val="2E86C1"/>
          <w:sz w:val="26"/>
          <w:szCs w:val="26"/>
        </w:rPr>
        <w:t xml:space="preserve">II.6 Analyse comparative — Ce qu’il faut dire</w:t>
      </w:r>
    </w:p>
    <w:p>
      <w:pPr>
        <w:spacing w:after="120" w:line="276"/>
        <w:jc w:val="both"/>
      </w:pPr>
      <w:r>
        <w:rPr>
          <w:rFonts w:ascii="Calibri" w:cs="Calibri" w:eastAsia="Calibri" w:hAnsi="Calibri"/>
          <w:color w:val="1C2833"/>
          <w:sz w:val="21"/>
          <w:szCs w:val="21"/>
        </w:rPr>
        <w:t xml:space="preserve">La comparaison doit mettre en évidence le compromis fondamental entre efficacité spectrale et robustesse au bruit. BPSK et QPSK offrent la même robustesse par bit, mais QPSK double l’efficacité spectrale. 16-QAM quadruple l’efficacité spectrale au prix d’une sensibilité accrue au bruit. BFSK sacrifie l’efficacité spectrale pour gagner en simplicité de réception et en robustesse aux fluctuations d’amplitude.</w:t>
      </w:r>
    </w:p>
    <w:p>
      <w:pPr>
        <w:spacing w:after="120" w:line="276"/>
        <w:jc w:val="both"/>
      </w:pPr>
      <w:r>
        <w:rPr>
          <w:rFonts w:ascii="Calibri" w:cs="Calibri" w:eastAsia="Calibri" w:hAnsi="Calibri"/>
          <w:color w:val="1C2833"/>
          <w:sz w:val="21"/>
          <w:szCs w:val="21"/>
        </w:rPr>
        <w:t xml:space="preserve">En canal de Rayleigh, toutes les modulations sont sévèrement dégradées, mais les modulations à enveloppe constante (BPSK, QPSK, BFSK) sont moins affectées que celles modulant l’amplitude (16-QAM). Cette observation est déterminante pour le choix dans les tunnels ferroviaires.</w:t>
      </w:r>
    </w:p>
    <w:p>
      <w:pPr>
        <w:pStyle w:val="Heading1"/>
        <w:spacing w:before="360" w:after="200"/>
      </w:pPr>
      <w:r>
        <w:rPr>
          <w:rFonts w:ascii="Georgia" w:cs="Georgia" w:eastAsia="Georgia" w:hAnsi="Georgia"/>
          <w:b/>
          <w:bCs/>
          <w:color w:val="1B4F72"/>
          <w:sz w:val="30"/>
          <w:szCs w:val="30"/>
        </w:rPr>
        <w:t xml:space="preserve">Partie III — Codes correcteurs d’erreurs</w:t>
      </w:r>
    </w:p>
    <w:p>
      <w:pPr>
        <w:pStyle w:val="Heading2"/>
        <w:pBdr>
          <w:bottom w:val="single" w:color="2E86C1" w:sz="2" w:space="4"/>
        </w:pBdr>
        <w:spacing w:before="280" w:after="160"/>
      </w:pPr>
      <w:r>
        <w:rPr>
          <w:rFonts w:ascii="Georgia" w:cs="Georgia" w:eastAsia="Georgia" w:hAnsi="Georgia"/>
          <w:b/>
          <w:bCs/>
          <w:color w:val="2E86C1"/>
          <w:sz w:val="26"/>
          <w:szCs w:val="26"/>
        </w:rPr>
        <w:t xml:space="preserve">III.1 Motivation et principe</w:t>
      </w:r>
    </w:p>
    <w:p>
      <w:pPr>
        <w:spacing w:after="120" w:line="276"/>
        <w:jc w:val="both"/>
      </w:pPr>
      <w:r>
        <w:rPr>
          <w:rFonts w:ascii="Calibri" w:cs="Calibri" w:eastAsia="Calibri" w:hAnsi="Calibri"/>
          <w:color w:val="1C2833"/>
          <w:sz w:val="21"/>
          <w:szCs w:val="21"/>
        </w:rPr>
        <w:t xml:space="preserve">Les codes correcteurs d’erreurs ajoutent de la redondance contrôlée aux données transmises afin de détecter et corriger les erreurs introduites par le canal. Le principe remonte aux travaux de Hamming (1950) [10], qui a montré qu’il est possible de construire des codes capables de corriger un nombre prédéfini d’erreurs. Un code est caractérisé par trois paramètres : la longueur n (symboles par mot de code), la dimension k (symboles d’information), et la distance minimale d (nombre minimal de différences entre mots de code).</w:t>
      </w:r>
    </w:p>
    <w:p>
      <w:pPr>
        <w:pStyle w:val="Heading2"/>
        <w:pBdr>
          <w:bottom w:val="single" w:color="2E86C1" w:sz="2" w:space="4"/>
        </w:pBdr>
        <w:spacing w:before="280" w:after="160"/>
      </w:pPr>
      <w:r>
        <w:rPr>
          <w:rFonts w:ascii="Georgia" w:cs="Georgia" w:eastAsia="Georgia" w:hAnsi="Georgia"/>
          <w:b/>
          <w:bCs/>
          <w:color w:val="2E86C1"/>
          <w:sz w:val="26"/>
          <w:szCs w:val="26"/>
        </w:rPr>
        <w:t xml:space="preserve">III.2 Codes de Reed-Solomon</w:t>
      </w:r>
    </w:p>
    <w:p>
      <w:pPr>
        <w:spacing w:after="120" w:line="276"/>
        <w:jc w:val="both"/>
      </w:pPr>
      <w:r>
        <w:rPr>
          <w:rFonts w:ascii="Calibri" w:cs="Calibri" w:eastAsia="Calibri" w:hAnsi="Calibri"/>
          <w:color w:val="1C2833"/>
          <w:sz w:val="21"/>
          <w:szCs w:val="21"/>
        </w:rPr>
        <w:t xml:space="preserve">Les codes de Reed-Solomon (RS) sont une sous-famille des codes cycliques opérant sur des symboles plutôt que sur des bits individuels. Un code RS(n, k) avec des symboles de m bits peut corriger jusqu’à t = (n − k)/2 symboles erronés, indépendamment du nombre de bits erronés dans chaque symbole. Cette propriété rend les codes RS particulièrement efficaces contre les erreurs en rafale.</w:t>
      </w:r>
    </w:p>
    <w:p>
      <w:pPr>
        <w:spacing w:after="120" w:line="276"/>
        <w:jc w:val="both"/>
      </w:pPr>
      <w:r>
        <w:rPr>
          <w:rFonts w:ascii="Calibri" w:cs="Calibri" w:eastAsia="Calibri" w:hAnsi="Calibri"/>
          <w:b/>
          <w:bCs/>
          <w:color w:val="1C2833"/>
          <w:sz w:val="21"/>
          <w:szCs w:val="21"/>
        </w:rPr>
        <w:t xml:space="preserve">Exemple concret à présenter : </w:t>
      </w:r>
      <w:r>
        <w:rPr>
          <w:rFonts w:ascii="Calibri" w:cs="Calibri" w:eastAsia="Calibri" w:hAnsi="Calibri"/>
          <w:color w:val="1C2833"/>
          <w:sz w:val="21"/>
          <w:szCs w:val="21"/>
        </w:rPr>
        <w:t xml:space="preserve">RS(255, 223) avec des symboles de 8 bits peut corriger jusqu’à 16 symboles erronés par bloc de 255 symboles. Le rendement du code est R = k/n = 223/255 ≈ 0,875, soit une redondance de 12,5 %.</w:t>
      </w:r>
    </w:p>
    <w:p>
      <w:pPr>
        <w:pStyle w:val="Heading2"/>
        <w:pBdr>
          <w:bottom w:val="single" w:color="2E86C1" w:sz="2" w:space="4"/>
        </w:pBdr>
        <w:spacing w:before="280" w:after="160"/>
      </w:pPr>
      <w:r>
        <w:rPr>
          <w:rFonts w:ascii="Georgia" w:cs="Georgia" w:eastAsia="Georgia" w:hAnsi="Georgia"/>
          <w:b/>
          <w:bCs/>
          <w:color w:val="2E86C1"/>
          <w:sz w:val="26"/>
          <w:szCs w:val="26"/>
        </w:rPr>
        <w:t xml:space="preserve">III.3 Interleaving (entrelacement)</w:t>
      </w:r>
    </w:p>
    <w:p>
      <w:pPr>
        <w:spacing w:after="120" w:line="276"/>
        <w:jc w:val="both"/>
      </w:pPr>
      <w:r>
        <w:rPr>
          <w:rFonts w:ascii="Calibri" w:cs="Calibri" w:eastAsia="Calibri" w:hAnsi="Calibri"/>
          <w:color w:val="1C2833"/>
          <w:sz w:val="21"/>
          <w:szCs w:val="21"/>
        </w:rPr>
        <w:t xml:space="preserve">Face à des erreurs en rafale, un code RS seul peut être dépassé si le burst excède sa capacité de correction t. L’interleaving résout ce problème en dispersant les symboles d’un même mot de code dans le temps avant transmission. Après le canal, le désentrelacement réorganise les symboles, transformant un burst d’erreurs contiguës en erreurs éparpillées, chacune corrigeable individuellement par 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12"/>
              <w:bottom w:val="single" w:color="F39C12" w:sz="1"/>
              <w:right w:val="single" w:color="F39C12" w:sz="1"/>
            </w:tcBorders>
            <w:shd w:fill="FEF9E7" w:val="clear"/>
            <w:tcMar>
              <w:top w:type="dxa" w:w="100"/>
              <w:left w:type="dxa" w:w="200"/>
              <w:bottom w:type="dxa" w:w="100"/>
              <w:right w:type="dxa" w:w="200"/>
            </w:tcMar>
          </w:tcPr>
          <w:p>
            <w:pPr>
              <w:spacing w:after="80"/>
            </w:pPr>
            <w:r>
              <w:rPr>
                <w:rFonts w:ascii="Georgia" w:cs="Georgia" w:eastAsia="Georgia" w:hAnsi="Georgia"/>
                <w:b/>
                <w:bCs/>
                <w:color w:val="F39C12"/>
                <w:sz w:val="21"/>
                <w:szCs w:val="21"/>
              </w:rPr>
              <w:t xml:space="preserve">Démonstration clé pour le jury</w:t>
            </w:r>
          </w:p>
          <w:p>
            <w:pPr>
              <w:spacing w:after="40" w:line="260"/>
              <w:jc w:val="both"/>
            </w:pPr>
            <w:r>
              <w:rPr>
                <w:rFonts w:ascii="Calibri" w:cs="Calibri" w:eastAsia="Calibri" w:hAnsi="Calibri"/>
                <w:color w:val="1C2833"/>
                <w:sz w:val="20"/>
                <w:szCs w:val="20"/>
              </w:rPr>
              <w:t xml:space="preserve">Simuler un canal à erreurs en rafale (burst de longueur variable). Montrer que : (1) sans RS, le BER est catastrophique ; (2) avec RS mais sans interleaving, le BER s’effondre dès que le burst dépasse t symboles ; (3) avec RS + interleaving de profondeur suffisante, le BER est ramené à un niveau acceptable même pour de longs bursts. Ce triptyque de courbes est très démonstratif.</w:t>
            </w:r>
          </w:p>
        </w:tc>
      </w:tr>
    </w:tbl>
    <w:p>
      <w:pPr>
        <w:spacing w:after="60"/>
      </w:pPr>
    </w:p>
    <w:p>
      <w:pPr>
        <w:pStyle w:val="Heading2"/>
        <w:pBdr>
          <w:bottom w:val="single" w:color="2E86C1" w:sz="2" w:space="4"/>
        </w:pBdr>
        <w:spacing w:before="280" w:after="160"/>
      </w:pPr>
      <w:r>
        <w:rPr>
          <w:rFonts w:ascii="Georgia" w:cs="Georgia" w:eastAsia="Georgia" w:hAnsi="Georgia"/>
          <w:b/>
          <w:bCs/>
          <w:color w:val="2E86C1"/>
          <w:sz w:val="26"/>
          <w:szCs w:val="26"/>
        </w:rPr>
        <w:t xml:space="preserve">III.4 Résultats à produire</w:t>
      </w:r>
    </w:p>
    <w:p>
      <w:pPr>
        <w:spacing w:after="120" w:line="276"/>
        <w:jc w:val="both"/>
      </w:pPr>
      <w:r>
        <w:rPr>
          <w:rFonts w:ascii="Calibri" w:cs="Calibri" w:eastAsia="Calibri" w:hAnsi="Calibri"/>
          <w:color w:val="1C2833"/>
          <w:sz w:val="21"/>
          <w:szCs w:val="21"/>
        </w:rPr>
        <w:t xml:space="preserve">• Courbes BER vs E_b/N₀ pour QPSK avec et sans RS en canal AWGN : quantifier le gain de codage (« coding gain »), c’est-à-dire la réduction du E_b/N₀ nécessaire pour atteindre un BER donné (typiquement 2–3 dB pour RS(255,223)).</w:t>
      </w:r>
    </w:p>
    <w:p>
      <w:pPr>
        <w:spacing w:after="120" w:line="276"/>
        <w:jc w:val="both"/>
      </w:pPr>
      <w:r>
        <w:rPr>
          <w:rFonts w:ascii="Calibri" w:cs="Calibri" w:eastAsia="Calibri" w:hAnsi="Calibri"/>
          <w:color w:val="1C2833"/>
          <w:sz w:val="21"/>
          <w:szCs w:val="21"/>
        </w:rPr>
        <w:t xml:space="preserve">• Courbes BER en canal à erreurs en rafale : comparaison sans code / RS seul / RS + interleaving.</w:t>
      </w:r>
    </w:p>
    <w:p>
      <w:pPr>
        <w:spacing w:after="120" w:line="276"/>
        <w:jc w:val="both"/>
      </w:pPr>
      <w:r>
        <w:rPr>
          <w:rFonts w:ascii="Calibri" w:cs="Calibri" w:eastAsia="Calibri" w:hAnsi="Calibri"/>
          <w:color w:val="1C2833"/>
          <w:sz w:val="21"/>
          <w:szCs w:val="21"/>
        </w:rPr>
        <w:t xml:space="preserve">• Tableau du gain de codage pour chaque modulation (BPSK, QPSK, 16-QAM) avec RS.</w:t>
      </w:r>
    </w:p>
    <w:p>
      <w:pPr>
        <w:pStyle w:val="Heading1"/>
        <w:spacing w:before="360" w:after="200"/>
      </w:pPr>
      <w:r>
        <w:rPr>
          <w:rFonts w:ascii="Georgia" w:cs="Georgia" w:eastAsia="Georgia" w:hAnsi="Georgia"/>
          <w:b/>
          <w:bCs/>
          <w:color w:val="1B4F72"/>
          <w:sz w:val="30"/>
          <w:szCs w:val="30"/>
        </w:rPr>
        <w:t xml:space="preserve">Partie IV — Application ferroviaire et conclusion</w:t>
      </w:r>
    </w:p>
    <w:p>
      <w:pPr>
        <w:pStyle w:val="Heading2"/>
        <w:pBdr>
          <w:bottom w:val="single" w:color="2E86C1" w:sz="2" w:space="4"/>
        </w:pBdr>
        <w:spacing w:before="280" w:after="160"/>
      </w:pPr>
      <w:r>
        <w:rPr>
          <w:rFonts w:ascii="Georgia" w:cs="Georgia" w:eastAsia="Georgia" w:hAnsi="Georgia"/>
          <w:b/>
          <w:bCs/>
          <w:color w:val="2E86C1"/>
          <w:sz w:val="26"/>
          <w:szCs w:val="26"/>
        </w:rPr>
        <w:t xml:space="preserve">IV.1 Synthèse applicative</w:t>
      </w:r>
    </w:p>
    <w:p>
      <w:pPr>
        <w:spacing w:after="120" w:line="276"/>
        <w:jc w:val="both"/>
      </w:pPr>
      <w:r>
        <w:rPr>
          <w:rFonts w:ascii="Calibri" w:cs="Calibri" w:eastAsia="Calibri" w:hAnsi="Calibri"/>
          <w:color w:val="1C2833"/>
          <w:sz w:val="21"/>
          <w:szCs w:val="21"/>
        </w:rPr>
        <w:t xml:space="preserve">Relier l’ensemble des résultats au contexte du métro automatique. Dans un tunnel, le canal est de type Rayleigh avec éventuellement des bursts d’erreurs. Les contraintes sont : débit faible (2 400–4 800 bit/s), fiabilité extrême (BER &lt; 10⁻⁶), complexité matérielle réduite. D’après les résultats de simulation :</w:t>
      </w:r>
    </w:p>
    <w:p>
      <w:pPr>
        <w:spacing w:after="120" w:line="276"/>
        <w:jc w:val="both"/>
      </w:pPr>
      <w:r>
        <w:rPr>
          <w:rFonts w:ascii="Calibri" w:cs="Calibri" w:eastAsia="Calibri" w:hAnsi="Calibri"/>
          <w:color w:val="1C2833"/>
          <w:sz w:val="21"/>
          <w:szCs w:val="21"/>
        </w:rPr>
        <w:t xml:space="preserve">• QPSK est le meilleur compromis : même BER par bit que BPSK mais double efficacité spectrale, robustesse aux fluctuations d’amplitude (enveloppe constante), et recommandé par la littérature pour les systèmes à fort bruit de phase [Benedetto et al.].</w:t>
      </w:r>
    </w:p>
    <w:p>
      <w:pPr>
        <w:spacing w:after="120" w:line="276"/>
        <w:jc w:val="both"/>
      </w:pPr>
      <w:r>
        <w:rPr>
          <w:rFonts w:ascii="Calibri" w:cs="Calibri" w:eastAsia="Calibri" w:hAnsi="Calibri"/>
          <w:color w:val="1C2833"/>
          <w:sz w:val="21"/>
          <w:szCs w:val="21"/>
        </w:rPr>
        <w:t xml:space="preserve">• 16-QAM est excédentaire en débit et trop fragile pour le canal ferroviaire.</w:t>
      </w:r>
    </w:p>
    <w:p>
      <w:pPr>
        <w:spacing w:after="120" w:line="276"/>
        <w:jc w:val="both"/>
      </w:pPr>
      <w:r>
        <w:rPr>
          <w:rFonts w:ascii="Calibri" w:cs="Calibri" w:eastAsia="Calibri" w:hAnsi="Calibri"/>
          <w:color w:val="1C2833"/>
          <w:sz w:val="21"/>
          <w:szCs w:val="21"/>
        </w:rPr>
        <w:t xml:space="preserve">• L’ajout de RS(255,223) avec interleaving permet de respecter la contrainte de BER même dans les conditions de fading du tunnel.</w:t>
      </w:r>
    </w:p>
    <w:p>
      <w:pPr>
        <w:pStyle w:val="Heading2"/>
        <w:pBdr>
          <w:bottom w:val="single" w:color="2E86C1" w:sz="2" w:space="4"/>
        </w:pBdr>
        <w:spacing w:before="280" w:after="160"/>
      </w:pPr>
      <w:r>
        <w:rPr>
          <w:rFonts w:ascii="Georgia" w:cs="Georgia" w:eastAsia="Georgia" w:hAnsi="Georgia"/>
          <w:b/>
          <w:bCs/>
          <w:color w:val="2E86C1"/>
          <w:sz w:val="26"/>
          <w:szCs w:val="26"/>
        </w:rPr>
        <w:t xml:space="preserve">IV.2 Tableau de synthèse final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13"/>
        <w:gridCol w:w="1813"/>
      </w:tblGrid>
      <w:tr>
        <w:tc>
          <w:tcPr>
            <w:tcW w:type="dxa" w:w="1800"/>
            <w:tcBorders>
              <w:top w:val="single" w:color="BDC3C7" w:sz="1"/>
              <w:left w:val="single" w:color="BDC3C7" w:sz="1"/>
              <w:bottom w:val="single" w:color="BDC3C7" w:sz="1"/>
              <w:right w:val="single" w:color="BDC3C7" w:sz="1"/>
            </w:tcBorders>
            <w:shd w:fill="1B4F72"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Critère</w:t>
            </w:r>
          </w:p>
        </w:tc>
        <w:tc>
          <w:tcPr>
            <w:tcW w:type="dxa" w:w="1800"/>
            <w:tcBorders>
              <w:top w:val="single" w:color="BDC3C7" w:sz="1"/>
              <w:left w:val="single" w:color="BDC3C7" w:sz="1"/>
              <w:bottom w:val="single" w:color="BDC3C7" w:sz="1"/>
              <w:right w:val="single" w:color="BDC3C7" w:sz="1"/>
            </w:tcBorders>
            <w:shd w:fill="1B4F72"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BPSK</w:t>
            </w:r>
          </w:p>
        </w:tc>
        <w:tc>
          <w:tcPr>
            <w:tcW w:type="dxa" w:w="1800"/>
            <w:tcBorders>
              <w:top w:val="single" w:color="BDC3C7" w:sz="1"/>
              <w:left w:val="single" w:color="BDC3C7" w:sz="1"/>
              <w:bottom w:val="single" w:color="BDC3C7" w:sz="1"/>
              <w:right w:val="single" w:color="BDC3C7" w:sz="1"/>
            </w:tcBorders>
            <w:shd w:fill="1B4F72"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QPSK</w:t>
            </w:r>
          </w:p>
        </w:tc>
        <w:tc>
          <w:tcPr>
            <w:tcW w:type="dxa" w:w="1813"/>
            <w:tcBorders>
              <w:top w:val="single" w:color="BDC3C7" w:sz="1"/>
              <w:left w:val="single" w:color="BDC3C7" w:sz="1"/>
              <w:bottom w:val="single" w:color="BDC3C7" w:sz="1"/>
              <w:right w:val="single" w:color="BDC3C7" w:sz="1"/>
            </w:tcBorders>
            <w:shd w:fill="1B4F72"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16-QAM</w:t>
            </w:r>
          </w:p>
        </w:tc>
        <w:tc>
          <w:tcPr>
            <w:tcW w:type="dxa" w:w="1813"/>
            <w:tcBorders>
              <w:top w:val="single" w:color="BDC3C7" w:sz="1"/>
              <w:left w:val="single" w:color="BDC3C7" w:sz="1"/>
              <w:bottom w:val="single" w:color="BDC3C7" w:sz="1"/>
              <w:right w:val="single" w:color="BDC3C7" w:sz="1"/>
            </w:tcBorders>
            <w:shd w:fill="1B4F72"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BFSK</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Eff. spectrale</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1 bit/s/Hz</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2 bit/s/Hz</w:t>
            </w:r>
          </w:p>
        </w:tc>
        <w:tc>
          <w:tcPr>
            <w:tcW w:type="dxa" w:w="1813"/>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4 bit/s/Hz</w:t>
            </w:r>
          </w:p>
        </w:tc>
        <w:tc>
          <w:tcPr>
            <w:tcW w:type="dxa" w:w="1813"/>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&lt; 1 bit/s/Hz</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E_b/N₀ (BER=10⁻⁵)</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 9,6 dB</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 9,6 dB</w:t>
            </w:r>
          </w:p>
        </w:tc>
        <w:tc>
          <w:tcPr>
            <w:tcW w:type="dxa" w:w="1813"/>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 13,5 dB</w:t>
            </w:r>
          </w:p>
        </w:tc>
        <w:tc>
          <w:tcPr>
            <w:tcW w:type="dxa" w:w="1813"/>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 12,6 dB</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Robustesse fading</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Bonne</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Bonne</w:t>
            </w:r>
          </w:p>
        </w:tc>
        <w:tc>
          <w:tcPr>
            <w:tcW w:type="dxa" w:w="1813"/>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Faible</w:t>
            </w:r>
          </w:p>
        </w:tc>
        <w:tc>
          <w:tcPr>
            <w:tcW w:type="dxa" w:w="1813"/>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Bonne</w:t>
            </w:r>
          </w:p>
        </w:tc>
      </w:tr>
      <w:tr>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Complexité</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Faible</w:t>
            </w:r>
          </w:p>
        </w:tc>
        <w:tc>
          <w:tcPr>
            <w:tcW w:type="dxa" w:w="1800"/>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Modérée</w:t>
            </w:r>
          </w:p>
        </w:tc>
        <w:tc>
          <w:tcPr>
            <w:tcW w:type="dxa" w:w="1813"/>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Élevée</w:t>
            </w:r>
          </w:p>
        </w:tc>
        <w:tc>
          <w:tcPr>
            <w:tcW w:type="dxa" w:w="1813"/>
            <w:tcBorders>
              <w:top w:val="single" w:color="BDC3C7" w:sz="1"/>
              <w:left w:val="single" w:color="BDC3C7" w:sz="1"/>
              <w:bottom w:val="single" w:color="BDC3C7" w:sz="1"/>
              <w:right w:val="single" w:color="BDC3C7" w:sz="1"/>
            </w:tcBorders>
            <w:shd w:fill="FFFFFF"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Faible</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Adapté tunnel ?</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Oui</w:t>
            </w:r>
          </w:p>
        </w:tc>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bCs/>
                <w:color w:val="1ABC9C"/>
                <w:sz w:val="19"/>
                <w:szCs w:val="19"/>
              </w:rPr>
              <w:t xml:space="preserve">Oui ★</w:t>
            </w:r>
          </w:p>
        </w:tc>
        <w:tc>
          <w:tcPr>
            <w:tcW w:type="dxa" w:w="1813"/>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Non</w:t>
            </w:r>
          </w:p>
        </w:tc>
        <w:tc>
          <w:tcPr>
            <w:tcW w:type="dxa" w:w="1813"/>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jc w:val="center"/>
            </w:pPr>
            <w:r>
              <w:rPr>
                <w:rFonts w:ascii="Calibri" w:cs="Calibri" w:eastAsia="Calibri" w:hAnsi="Calibri"/>
                <w:b w:val="false"/>
                <w:bCs w:val="false"/>
                <w:color w:val="1C2833"/>
                <w:sz w:val="19"/>
                <w:szCs w:val="19"/>
              </w:rPr>
              <w:t xml:space="preserve">Oui (large bande)</w:t>
            </w:r>
          </w:p>
        </w:tc>
      </w:tr>
    </w:tbl>
    <w:p>
      <w:pPr>
        <w:spacing w:after="60"/>
      </w:pPr>
    </w:p>
    <w:p>
      <w:pPr>
        <w:pStyle w:val="Heading2"/>
        <w:pBdr>
          <w:bottom w:val="single" w:color="2E86C1" w:sz="2" w:space="4"/>
        </w:pBdr>
        <w:spacing w:before="280" w:after="160"/>
      </w:pPr>
      <w:r>
        <w:rPr>
          <w:rFonts w:ascii="Georgia" w:cs="Georgia" w:eastAsia="Georgia" w:hAnsi="Georgia"/>
          <w:b/>
          <w:bCs/>
          <w:color w:val="2E86C1"/>
          <w:sz w:val="26"/>
          <w:szCs w:val="26"/>
        </w:rPr>
        <w:t xml:space="preserve">IV.3 Ouverture</w:t>
      </w:r>
    </w:p>
    <w:p>
      <w:pPr>
        <w:spacing w:after="120" w:line="276"/>
        <w:jc w:val="both"/>
      </w:pPr>
      <w:r>
        <w:rPr>
          <w:rFonts w:ascii="Calibri" w:cs="Calibri" w:eastAsia="Calibri" w:hAnsi="Calibri"/>
          <w:color w:val="1C2833"/>
          <w:sz w:val="21"/>
          <w:szCs w:val="21"/>
        </w:rPr>
        <w:t xml:space="preserve">Ouvrir sur les limites et prolongements : les modulations modernes (OFDM, utilisée dans la 4G/5G et le DAB+) combinent plusieurs sous-porteuses pour s’adapter dynamiquement au canal. Les codes turbo et LDPC surpassent Reed-Solomon en termes de gain de codage, au prix d’une complexité de décodage accrue. Mentionner également la possibilité d’une validation expérimentale (transmission sonore dans un tube pour simuler un tunnel, par exemple).</w:t>
      </w:r>
    </w:p>
    <w:p>
      <w:r>
        <w:br w:type="page"/>
      </w:r>
    </w:p>
    <w:p>
      <w:pPr>
        <w:pStyle w:val="Heading1"/>
        <w:spacing w:before="360" w:after="200"/>
      </w:pPr>
      <w:r>
        <w:rPr>
          <w:rFonts w:ascii="Georgia" w:cs="Georgia" w:eastAsia="Georgia" w:hAnsi="Georgia"/>
          <w:b/>
          <w:bCs/>
          <w:color w:val="1B4F72"/>
          <w:sz w:val="30"/>
          <w:szCs w:val="30"/>
        </w:rPr>
        <w:t xml:space="preserve">Annexe — Checklist d’implémentation</w:t>
      </w:r>
    </w:p>
    <w:p>
      <w:pPr>
        <w:pStyle w:val="Heading2"/>
        <w:pBdr>
          <w:bottom w:val="single" w:color="2E86C1" w:sz="2" w:space="4"/>
        </w:pBdr>
        <w:spacing w:before="280" w:after="160"/>
      </w:pPr>
      <w:r>
        <w:rPr>
          <w:rFonts w:ascii="Georgia" w:cs="Georgia" w:eastAsia="Georgia" w:hAnsi="Georgia"/>
          <w:b/>
          <w:bCs/>
          <w:color w:val="2E86C1"/>
          <w:sz w:val="26"/>
          <w:szCs w:val="26"/>
        </w:rPr>
        <w:t xml:space="preserve">A. Code Python à compléter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1500"/>
        <w:gridCol w:w="1500"/>
        <w:gridCol w:w="2013"/>
      </w:tblGrid>
      <w:tr>
        <w:tc>
          <w:tcPr>
            <w:tcW w:type="dxa" w:w="4013"/>
            <w:tcBorders>
              <w:top w:val="single" w:color="BDC3C7" w:sz="1"/>
              <w:left w:val="single" w:color="BDC3C7" w:sz="1"/>
              <w:bottom w:val="single" w:color="BDC3C7" w:sz="1"/>
              <w:right w:val="single" w:color="BDC3C7" w:sz="1"/>
            </w:tcBorders>
            <w:shd w:fill="1B4F72"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Tâche</w:t>
            </w:r>
          </w:p>
        </w:tc>
        <w:tc>
          <w:tcPr>
            <w:tcW w:type="dxa" w:w="1500"/>
            <w:tcBorders>
              <w:top w:val="single" w:color="BDC3C7" w:sz="1"/>
              <w:left w:val="single" w:color="BDC3C7" w:sz="1"/>
              <w:bottom w:val="single" w:color="BDC3C7" w:sz="1"/>
              <w:right w:val="single" w:color="BDC3C7" w:sz="1"/>
            </w:tcBorders>
            <w:shd w:fill="1B4F72"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Difficulté</w:t>
            </w:r>
          </w:p>
        </w:tc>
        <w:tc>
          <w:tcPr>
            <w:tcW w:type="dxa" w:w="1500"/>
            <w:tcBorders>
              <w:top w:val="single" w:color="BDC3C7" w:sz="1"/>
              <w:left w:val="single" w:color="BDC3C7" w:sz="1"/>
              <w:bottom w:val="single" w:color="BDC3C7" w:sz="1"/>
              <w:right w:val="single" w:color="BDC3C7" w:sz="1"/>
            </w:tcBorders>
            <w:shd w:fill="1B4F72"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Priorité</w:t>
            </w:r>
          </w:p>
        </w:tc>
        <w:tc>
          <w:tcPr>
            <w:tcW w:type="dxa" w:w="2013"/>
            <w:tcBorders>
              <w:top w:val="single" w:color="BDC3C7" w:sz="1"/>
              <w:left w:val="single" w:color="BDC3C7" w:sz="1"/>
              <w:bottom w:val="single" w:color="BDC3C7" w:sz="1"/>
              <w:right w:val="single" w:color="BDC3C7" w:sz="1"/>
            </w:tcBorders>
            <w:shd w:fill="1B4F72"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État</w:t>
            </w:r>
          </w:p>
        </w:tc>
      </w:tr>
      <w:tr>
        <w:tc>
          <w:tcPr>
            <w:tcW w:type="dxa" w:w="4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Implémenter 16-QAM (mod + demod)</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Moyenne</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bCs/>
                <w:color w:val="E74C3C"/>
                <w:sz w:val="19"/>
                <w:szCs w:val="19"/>
              </w:rPr>
              <w:t xml:space="preserve">Haute</w:t>
            </w:r>
          </w:p>
        </w:tc>
        <w:tc>
          <w:tcPr>
            <w:tcW w:type="dxa" w:w="2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À faire</w:t>
            </w:r>
          </w:p>
        </w:tc>
      </w:tr>
      <w:tr>
        <w:tc>
          <w:tcPr>
            <w:tcW w:type="dxa" w:w="4013"/>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Implémenter BFSK (mod + demod)</w:t>
            </w:r>
          </w:p>
        </w:tc>
        <w:tc>
          <w:tcPr>
            <w:tcW w:type="dxa" w:w="1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Facile</w:t>
            </w:r>
          </w:p>
        </w:tc>
        <w:tc>
          <w:tcPr>
            <w:tcW w:type="dxa" w:w="1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bCs/>
                <w:color w:val="E74C3C"/>
                <w:sz w:val="19"/>
                <w:szCs w:val="19"/>
              </w:rPr>
              <w:t xml:space="preserve">Haute</w:t>
            </w:r>
          </w:p>
        </w:tc>
        <w:tc>
          <w:tcPr>
            <w:tcW w:type="dxa" w:w="2013"/>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À faire</w:t>
            </w:r>
          </w:p>
        </w:tc>
      </w:tr>
      <w:tr>
        <w:tc>
          <w:tcPr>
            <w:tcW w:type="dxa" w:w="4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Canal de Rayleigh (flat fading)</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Facile</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bCs/>
                <w:color w:val="E74C3C"/>
                <w:sz w:val="19"/>
                <w:szCs w:val="19"/>
              </w:rPr>
              <w:t xml:space="preserve">Haute</w:t>
            </w:r>
          </w:p>
        </w:tc>
        <w:tc>
          <w:tcPr>
            <w:tcW w:type="dxa" w:w="2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À faire</w:t>
            </w:r>
          </w:p>
        </w:tc>
      </w:tr>
      <w:tr>
        <w:tc>
          <w:tcPr>
            <w:tcW w:type="dxa" w:w="4013"/>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Courbes BER théoriques analytiques</w:t>
            </w:r>
          </w:p>
        </w:tc>
        <w:tc>
          <w:tcPr>
            <w:tcW w:type="dxa" w:w="1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Facile</w:t>
            </w:r>
          </w:p>
        </w:tc>
        <w:tc>
          <w:tcPr>
            <w:tcW w:type="dxa" w:w="1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bCs/>
                <w:color w:val="E74C3C"/>
                <w:sz w:val="19"/>
                <w:szCs w:val="19"/>
              </w:rPr>
              <w:t xml:space="preserve">Haute</w:t>
            </w:r>
          </w:p>
        </w:tc>
        <w:tc>
          <w:tcPr>
            <w:tcW w:type="dxa" w:w="2013"/>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À faire</w:t>
            </w:r>
          </w:p>
        </w:tc>
      </w:tr>
      <w:tr>
        <w:tc>
          <w:tcPr>
            <w:tcW w:type="dxa" w:w="4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Graphe BER comparatif (4 mod, 2 canaux)</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Moyenne</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bCs/>
                <w:color w:val="E74C3C"/>
                <w:sz w:val="19"/>
                <w:szCs w:val="19"/>
              </w:rPr>
              <w:t xml:space="preserve">Haute</w:t>
            </w:r>
          </w:p>
        </w:tc>
        <w:tc>
          <w:tcPr>
            <w:tcW w:type="dxa" w:w="2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À faire</w:t>
            </w:r>
          </w:p>
        </w:tc>
      </w:tr>
      <w:tr>
        <w:tc>
          <w:tcPr>
            <w:tcW w:type="dxa" w:w="4013"/>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Diagrammes de constellation bruités</w:t>
            </w:r>
          </w:p>
        </w:tc>
        <w:tc>
          <w:tcPr>
            <w:tcW w:type="dxa" w:w="1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Facile</w:t>
            </w:r>
          </w:p>
        </w:tc>
        <w:tc>
          <w:tcPr>
            <w:tcW w:type="dxa" w:w="1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bCs/>
                <w:color w:val="F39C12"/>
                <w:sz w:val="19"/>
                <w:szCs w:val="19"/>
              </w:rPr>
              <w:t xml:space="preserve">Moyenne</w:t>
            </w:r>
          </w:p>
        </w:tc>
        <w:tc>
          <w:tcPr>
            <w:tcW w:type="dxa" w:w="2013"/>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Partiel</w:t>
            </w:r>
          </w:p>
        </w:tc>
      </w:tr>
      <w:tr>
        <w:tc>
          <w:tcPr>
            <w:tcW w:type="dxa" w:w="4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Spectres fréquentiels comparatifs</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Facile</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bCs/>
                <w:color w:val="F39C12"/>
                <w:sz w:val="19"/>
                <w:szCs w:val="19"/>
              </w:rPr>
              <w:t xml:space="preserve">Moyenne</w:t>
            </w:r>
          </w:p>
        </w:tc>
        <w:tc>
          <w:tcPr>
            <w:tcW w:type="dxa" w:w="2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Partiel</w:t>
            </w:r>
          </w:p>
        </w:tc>
      </w:tr>
      <w:tr>
        <w:tc>
          <w:tcPr>
            <w:tcW w:type="dxa" w:w="4013"/>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Encodeur/décodeur Reed-Solomon</w:t>
            </w:r>
          </w:p>
        </w:tc>
        <w:tc>
          <w:tcPr>
            <w:tcW w:type="dxa" w:w="1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Difficile</w:t>
            </w:r>
          </w:p>
        </w:tc>
        <w:tc>
          <w:tcPr>
            <w:tcW w:type="dxa" w:w="1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bCs/>
                <w:color w:val="E74C3C"/>
                <w:sz w:val="19"/>
                <w:szCs w:val="19"/>
              </w:rPr>
              <w:t xml:space="preserve">Haute</w:t>
            </w:r>
          </w:p>
        </w:tc>
        <w:tc>
          <w:tcPr>
            <w:tcW w:type="dxa" w:w="2013"/>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À faire</w:t>
            </w:r>
          </w:p>
        </w:tc>
      </w:tr>
      <w:tr>
        <w:tc>
          <w:tcPr>
            <w:tcW w:type="dxa" w:w="4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Interleaver / deinterleaver</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Moyenne</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bCs/>
                <w:color w:val="E74C3C"/>
                <w:sz w:val="19"/>
                <w:szCs w:val="19"/>
              </w:rPr>
              <w:t xml:space="preserve">Haute</w:t>
            </w:r>
          </w:p>
        </w:tc>
        <w:tc>
          <w:tcPr>
            <w:tcW w:type="dxa" w:w="2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À faire</w:t>
            </w:r>
          </w:p>
        </w:tc>
      </w:tr>
      <w:tr>
        <w:tc>
          <w:tcPr>
            <w:tcW w:type="dxa" w:w="4013"/>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Simulation burst errors + RS</w:t>
            </w:r>
          </w:p>
        </w:tc>
        <w:tc>
          <w:tcPr>
            <w:tcW w:type="dxa" w:w="1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Moyenne</w:t>
            </w:r>
          </w:p>
        </w:tc>
        <w:tc>
          <w:tcPr>
            <w:tcW w:type="dxa" w:w="1500"/>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bCs/>
                <w:color w:val="E74C3C"/>
                <w:sz w:val="19"/>
                <w:szCs w:val="19"/>
              </w:rPr>
              <w:t xml:space="preserve">Haute</w:t>
            </w:r>
          </w:p>
        </w:tc>
        <w:tc>
          <w:tcPr>
            <w:tcW w:type="dxa" w:w="2013"/>
            <w:tcBorders>
              <w:top w:val="single" w:color="BDC3C7" w:sz="1"/>
              <w:left w:val="single" w:color="BDC3C7" w:sz="1"/>
              <w:bottom w:val="single" w:color="BDC3C7" w:sz="1"/>
              <w:right w:val="single" w:color="BDC3C7" w:sz="1"/>
            </w:tcBorders>
            <w:shd w:fill="FFFFFF"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À faire</w:t>
            </w:r>
          </w:p>
        </w:tc>
      </w:tr>
      <w:tr>
        <w:tc>
          <w:tcPr>
            <w:tcW w:type="dxa" w:w="4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left"/>
            </w:pPr>
            <w:r>
              <w:rPr>
                <w:rFonts w:ascii="Calibri" w:cs="Calibri" w:eastAsia="Calibri" w:hAnsi="Calibri"/>
                <w:b w:val="false"/>
                <w:bCs w:val="false"/>
                <w:color w:val="1C2833"/>
                <w:sz w:val="19"/>
                <w:szCs w:val="19"/>
              </w:rPr>
              <w:t xml:space="preserve">Calcul et affichage de l’EVM</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Facile</w:t>
            </w:r>
          </w:p>
        </w:tc>
        <w:tc>
          <w:tcPr>
            <w:tcW w:type="dxa" w:w="1500"/>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bCs/>
                <w:color w:val="1ABC9C"/>
                <w:sz w:val="19"/>
                <w:szCs w:val="19"/>
              </w:rPr>
              <w:t xml:space="preserve">Basse</w:t>
            </w:r>
          </w:p>
        </w:tc>
        <w:tc>
          <w:tcPr>
            <w:tcW w:type="dxa" w:w="2013"/>
            <w:tcBorders>
              <w:top w:val="single" w:color="BDC3C7" w:sz="1"/>
              <w:left w:val="single" w:color="BDC3C7" w:sz="1"/>
              <w:bottom w:val="single" w:color="BDC3C7" w:sz="1"/>
              <w:right w:val="single" w:color="BDC3C7" w:sz="1"/>
            </w:tcBorders>
            <w:shd w:fill="F2F4F4" w:val="clear"/>
            <w:tcMar>
              <w:top w:type="dxa" w:w="40"/>
              <w:left w:type="dxa" w:w="80"/>
              <w:bottom w:type="dxa" w:w="40"/>
              <w:right w:type="dxa" w:w="80"/>
            </w:tcMar>
          </w:tcPr>
          <w:p>
            <w:pPr>
              <w:jc w:val="center"/>
            </w:pPr>
            <w:r>
              <w:rPr>
                <w:rFonts w:ascii="Calibri" w:cs="Calibri" w:eastAsia="Calibri" w:hAnsi="Calibri"/>
                <w:b w:val="false"/>
                <w:bCs w:val="false"/>
                <w:color w:val="1C2833"/>
                <w:sz w:val="19"/>
                <w:szCs w:val="19"/>
              </w:rPr>
              <w:t xml:space="preserve">À faire</w:t>
            </w:r>
          </w:p>
        </w:tc>
      </w:tr>
    </w:tbl>
    <w:p>
      <w:pPr>
        <w:spacing w:after="60"/>
      </w:pPr>
    </w:p>
    <w:p>
      <w:pPr>
        <w:pStyle w:val="Heading2"/>
        <w:pBdr>
          <w:bottom w:val="single" w:color="2E86C1" w:sz="2" w:space="4"/>
        </w:pBdr>
        <w:spacing w:before="280" w:after="160"/>
      </w:pPr>
      <w:r>
        <w:rPr>
          <w:rFonts w:ascii="Georgia" w:cs="Georgia" w:eastAsia="Georgia" w:hAnsi="Georgia"/>
          <w:b/>
          <w:bCs/>
          <w:color w:val="2E86C1"/>
          <w:sz w:val="26"/>
          <w:szCs w:val="26"/>
        </w:rPr>
        <w:t xml:space="preserve">B. Figures à préparer pour l’oral</w:t>
      </w:r>
    </w:p>
    <w:p>
      <w:pPr>
        <w:spacing w:after="120" w:line="276"/>
        <w:jc w:val="both"/>
      </w:pPr>
      <w:r>
        <w:rPr>
          <w:rFonts w:ascii="Calibri" w:cs="Calibri" w:eastAsia="Calibri" w:hAnsi="Calibri"/>
          <w:color w:val="1C2833"/>
          <w:sz w:val="21"/>
          <w:szCs w:val="21"/>
        </w:rPr>
        <w:t xml:space="preserve">1. Schéma bloc de la chaîne de transmission complète (modulateur → canal → démodulateur → décodeur RS)</w:t>
      </w:r>
    </w:p>
    <w:p>
      <w:pPr>
        <w:spacing w:after="120" w:line="276"/>
        <w:jc w:val="both"/>
      </w:pPr>
      <w:r>
        <w:rPr>
          <w:rFonts w:ascii="Calibri" w:cs="Calibri" w:eastAsia="Calibri" w:hAnsi="Calibri"/>
          <w:color w:val="1C2833"/>
          <w:sz w:val="21"/>
          <w:szCs w:val="21"/>
        </w:rPr>
        <w:t xml:space="preserve">2. Histogramme de validation du bruit AWGN (+ Rayleigh)</w:t>
      </w:r>
    </w:p>
    <w:p>
      <w:pPr>
        <w:spacing w:after="120" w:line="276"/>
        <w:jc w:val="both"/>
      </w:pPr>
      <w:r>
        <w:rPr>
          <w:rFonts w:ascii="Calibri" w:cs="Calibri" w:eastAsia="Calibri" w:hAnsi="Calibri"/>
          <w:color w:val="1C2833"/>
          <w:sz w:val="21"/>
          <w:szCs w:val="21"/>
        </w:rPr>
        <w:t xml:space="preserve">3. Graphe BER vs E_b/N₀ : 4 modulations × 2 canaux + courbes théoriques (← GRAPHE PRINCIPAL)</w:t>
      </w:r>
    </w:p>
    <w:p>
      <w:pPr>
        <w:spacing w:after="120" w:line="276"/>
        <w:jc w:val="both"/>
      </w:pPr>
      <w:r>
        <w:rPr>
          <w:rFonts w:ascii="Calibri" w:cs="Calibri" w:eastAsia="Calibri" w:hAnsi="Calibri"/>
          <w:color w:val="1C2833"/>
          <w:sz w:val="21"/>
          <w:szCs w:val="21"/>
        </w:rPr>
        <w:t xml:space="preserve">4. Constellations bruitées (QPSK et 16-QAM à 3 niveaux de SNR)</w:t>
      </w:r>
    </w:p>
    <w:p>
      <w:pPr>
        <w:spacing w:after="120" w:line="276"/>
        <w:jc w:val="both"/>
      </w:pPr>
      <w:r>
        <w:rPr>
          <w:rFonts w:ascii="Calibri" w:cs="Calibri" w:eastAsia="Calibri" w:hAnsi="Calibri"/>
          <w:color w:val="1C2833"/>
          <w:sz w:val="21"/>
          <w:szCs w:val="21"/>
        </w:rPr>
        <w:t xml:space="preserve">5. Spectres fréquentiels comparatifs des 4 modulations</w:t>
      </w:r>
    </w:p>
    <w:p>
      <w:pPr>
        <w:spacing w:after="120" w:line="276"/>
        <w:jc w:val="both"/>
      </w:pPr>
      <w:r>
        <w:rPr>
          <w:rFonts w:ascii="Calibri" w:cs="Calibri" w:eastAsia="Calibri" w:hAnsi="Calibri"/>
          <w:color w:val="1C2833"/>
          <w:sz w:val="21"/>
          <w:szCs w:val="21"/>
        </w:rPr>
        <w:t xml:space="preserve">6. Courbes BER avec/sans RS en canal AWGN (gain de codage)</w:t>
      </w:r>
    </w:p>
    <w:p>
      <w:pPr>
        <w:spacing w:after="120" w:line="276"/>
        <w:jc w:val="both"/>
      </w:pPr>
      <w:r>
        <w:rPr>
          <w:rFonts w:ascii="Calibri" w:cs="Calibri" w:eastAsia="Calibri" w:hAnsi="Calibri"/>
          <w:color w:val="1C2833"/>
          <w:sz w:val="21"/>
          <w:szCs w:val="21"/>
        </w:rPr>
        <w:t xml:space="preserve">7. Courbes BER face aux bursts : sans code / RS seul / RS + interleaving</w:t>
      </w:r>
    </w:p>
    <w:p>
      <w:pPr>
        <w:spacing w:after="120" w:line="276"/>
        <w:jc w:val="both"/>
      </w:pPr>
      <w:r>
        <w:rPr>
          <w:rFonts w:ascii="Calibri" w:cs="Calibri" w:eastAsia="Calibri" w:hAnsi="Calibri"/>
          <w:color w:val="1C2833"/>
          <w:sz w:val="21"/>
          <w:szCs w:val="21"/>
        </w:rPr>
        <w:t xml:space="preserve">8. Tableau de synthèse final (modulation × critères)</w:t>
      </w:r>
    </w:p>
    <w:p>
      <w:pPr>
        <w:pStyle w:val="Heading2"/>
        <w:pBdr>
          <w:bottom w:val="single" w:color="2E86C1" w:sz="2" w:space="4"/>
        </w:pBdr>
        <w:spacing w:before="280" w:after="160"/>
      </w:pPr>
      <w:r>
        <w:rPr>
          <w:rFonts w:ascii="Georgia" w:cs="Georgia" w:eastAsia="Georgia" w:hAnsi="Georgia"/>
          <w:b/>
          <w:bCs/>
          <w:color w:val="2E86C1"/>
          <w:sz w:val="26"/>
          <w:szCs w:val="26"/>
        </w:rPr>
        <w:t xml:space="preserve">C. Bibliographie à citer</w:t>
      </w:r>
    </w:p>
    <w:p>
      <w:pPr>
        <w:spacing w:after="120" w:line="276"/>
        <w:jc w:val="both"/>
      </w:pPr>
      <w:r>
        <w:rPr>
          <w:rFonts w:ascii="Calibri" w:cs="Calibri" w:eastAsia="Calibri" w:hAnsi="Calibri"/>
          <w:color w:val="1C2833"/>
          <w:sz w:val="21"/>
          <w:szCs w:val="21"/>
        </w:rPr>
        <w:t xml:space="preserve">[1] C. E. Shannon, « A Mathematical Theory of Communication », Bell Syst. Tech. J., 1948.</w:t>
      </w:r>
    </w:p>
    <w:p>
      <w:pPr>
        <w:spacing w:after="120" w:line="276"/>
        <w:jc w:val="both"/>
      </w:pPr>
      <w:r>
        <w:rPr>
          <w:rFonts w:ascii="Calibri" w:cs="Calibri" w:eastAsia="Calibri" w:hAnsi="Calibri"/>
          <w:color w:val="1C2833"/>
          <w:sz w:val="21"/>
          <w:szCs w:val="21"/>
        </w:rPr>
        <w:t xml:space="preserve">[2] ITU-R P.372-17, Radio Noise, Union internationale des télécommunications, 2024.</w:t>
      </w:r>
    </w:p>
    <w:p>
      <w:pPr>
        <w:spacing w:after="120" w:line="276"/>
        <w:jc w:val="both"/>
      </w:pPr>
      <w:r>
        <w:rPr>
          <w:rFonts w:ascii="Calibri" w:cs="Calibri" w:eastAsia="Calibri" w:hAnsi="Calibri"/>
          <w:color w:val="1C2833"/>
          <w:sz w:val="21"/>
          <w:szCs w:val="21"/>
        </w:rPr>
        <w:t xml:space="preserve">[3] J. B. Johnson, « Thermal Agitation of Electricity in Conductors », Phys. Rev., 1928.</w:t>
      </w:r>
    </w:p>
    <w:p>
      <w:pPr>
        <w:spacing w:after="120" w:line="276"/>
        <w:jc w:val="both"/>
      </w:pPr>
      <w:r>
        <w:rPr>
          <w:rFonts w:ascii="Calibri" w:cs="Calibri" w:eastAsia="Calibri" w:hAnsi="Calibri"/>
          <w:color w:val="1C2833"/>
          <w:sz w:val="21"/>
          <w:szCs w:val="21"/>
        </w:rPr>
        <w:t xml:space="preserve">[4] J. G. Proakis &amp; M. Salehi, Digital Communications, 5th ed., McGraw-Hill, 2008.</w:t>
      </w:r>
    </w:p>
    <w:p>
      <w:pPr>
        <w:spacing w:after="120" w:line="276"/>
        <w:jc w:val="both"/>
      </w:pPr>
      <w:r>
        <w:rPr>
          <w:rFonts w:ascii="Calibri" w:cs="Calibri" w:eastAsia="Calibri" w:hAnsi="Calibri"/>
          <w:color w:val="1C2833"/>
          <w:sz w:val="21"/>
          <w:szCs w:val="21"/>
        </w:rPr>
        <w:t xml:space="preserve">[5] T. S. Rappaport, Wireless Communications: Principles and Practice, 2nd ed., Prentice Hall, 2002.</w:t>
      </w:r>
    </w:p>
    <w:p>
      <w:pPr>
        <w:spacing w:after="120" w:line="276"/>
        <w:jc w:val="both"/>
      </w:pPr>
      <w:r>
        <w:rPr>
          <w:rFonts w:ascii="Calibri" w:cs="Calibri" w:eastAsia="Calibri" w:hAnsi="Calibri"/>
          <w:color w:val="1C2833"/>
          <w:sz w:val="21"/>
          <w:szCs w:val="21"/>
        </w:rPr>
        <w:t xml:space="preserve">[6] A. Refaie Ali et al., « EM wave propagation in rectangular metro tunnel », Nature Sci. Rep., 2025.</w:t>
      </w:r>
    </w:p>
    <w:p>
      <w:pPr>
        <w:spacing w:after="120" w:line="276"/>
        <w:jc w:val="both"/>
      </w:pPr>
      <w:r>
        <w:rPr>
          <w:rFonts w:ascii="Calibri" w:cs="Calibri" w:eastAsia="Calibri" w:hAnsi="Calibri"/>
          <w:color w:val="1C2833"/>
          <w:sz w:val="21"/>
          <w:szCs w:val="21"/>
        </w:rPr>
        <w:t xml:space="preserve">[7] Y. Zhang et al., « Channel Measurements in Subway Tunnels », IEEE Trans. Veh. Tech., 2024.</w:t>
      </w:r>
    </w:p>
    <w:p>
      <w:pPr>
        <w:spacing w:after="120" w:line="276"/>
        <w:jc w:val="both"/>
      </w:pPr>
      <w:r>
        <w:rPr>
          <w:rFonts w:ascii="Calibri" w:cs="Calibri" w:eastAsia="Calibri" w:hAnsi="Calibri"/>
          <w:color w:val="1C2833"/>
          <w:sz w:val="21"/>
          <w:szCs w:val="21"/>
        </w:rPr>
        <w:t xml:space="preserve">[8] A. Goldsmith, Wireless Communications, Cambridge University Press, 2005.</w:t>
      </w:r>
    </w:p>
    <w:p>
      <w:pPr>
        <w:spacing w:after="120" w:line="276"/>
        <w:jc w:val="both"/>
      </w:pPr>
      <w:r>
        <w:rPr>
          <w:rFonts w:ascii="Calibri" w:cs="Calibri" w:eastAsia="Calibri" w:hAnsi="Calibri"/>
          <w:color w:val="1C2833"/>
          <w:sz w:val="21"/>
          <w:szCs w:val="21"/>
        </w:rPr>
        <w:t xml:space="preserve">[9] R. A. Shafik et al., « On the EVM as a Performance Metric », ICECE, 2006.</w:t>
      </w:r>
    </w:p>
    <w:p>
      <w:pPr>
        <w:spacing w:after="120" w:line="276"/>
        <w:jc w:val="both"/>
      </w:pPr>
      <w:r>
        <w:rPr>
          <w:rFonts w:ascii="Calibri" w:cs="Calibri" w:eastAsia="Calibri" w:hAnsi="Calibri"/>
          <w:color w:val="1C2833"/>
          <w:sz w:val="21"/>
          <w:szCs w:val="21"/>
        </w:rPr>
        <w:t xml:space="preserve">[10] R. W. Hamming, « Error Detecting and Error Correcting Codes », Bell Syst. Tech. J., 1950.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Calibri" w:cs="Calibri" w:eastAsia="Calibri" w:hAnsi="Calibri"/>
        <w:color w:val="566573"/>
        <w:sz w:val="18"/>
        <w:szCs w:val="18"/>
      </w:rPr>
      <w:t xml:space="preserve">Page </w:t>
    </w:r>
    <w:r>
      <w:rPr>
        <w:rFonts w:ascii="Calibri" w:cs="Calibri" w:eastAsia="Calibri" w:hAnsi="Calibri"/>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pPr>
    <w:r>
      <w:rPr>
        <w:rFonts w:ascii="Calibri" w:cs="Calibri" w:eastAsia="Calibri" w:hAnsi="Calibri"/>
        <w:i/>
        <w:iCs/>
        <w:color w:val="566573"/>
        <w:sz w:val="18"/>
        <w:szCs w:val="18"/>
      </w:rPr>
      <w:t xml:space="preserve">TIPE — Interférences dans un signal radio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30"/>
      <w:szCs w:val="30"/>
    </w:rPr>
  </w:style>
  <w:style w:type="paragraph" w:styleId="Heading2">
    <w:name w:val="Heading 2"/>
    <w:basedOn w:val="Normal"/>
    <w:next w:val="Normal"/>
    <w:qFormat/>
    <w:pPr>
      <w:spacing w:before="280" w:after="1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2026-03-02T18:36:20.591Z</dcterms:created>
  <dcterms:modified xsi:type="dcterms:W3CDTF">2026-03-02T18:36:20.592Z</dcterms:modified>
</cp:coreProperties>
</file>

<file path=docProps/custom.xml><?xml version="1.0" encoding="utf-8"?>
<Properties xmlns="http://schemas.openxmlformats.org/officeDocument/2006/custom-properties" xmlns:vt="http://schemas.openxmlformats.org/officeDocument/2006/docPropsVTypes"/>
</file>