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TraceHub 产品介绍（销售版）</w:t>
      </w:r>
    </w:p>
    <w:p>
      <w:pPr>
        <w:pStyle w:val="Heading1"/>
      </w:pPr>
      <w:r>
        <w:t>1. 一句话定位</w:t>
      </w:r>
    </w:p>
    <w:p>
      <w:r>
        <w:rPr>
          <w:b/>
        </w:rPr>
        <w:t>TraceHub</w:t>
      </w:r>
      <w:r>
        <w:t xml:space="preserve"> 是一套开源的 </w:t>
      </w:r>
      <w:r>
        <w:rPr>
          <w:b/>
        </w:rPr>
        <w:t>AI API 网关 / 中转平台</w:t>
      </w:r>
      <w:r>
        <w:t xml:space="preserve">：把 OpenAI、Claude、Gemini、DeepSeek 等多种上游，统一收敛为 </w:t>
      </w:r>
      <w:r>
        <w:rPr>
          <w:b/>
        </w:rPr>
        <w:t>一套 OpenAI 兼容的 `/v1` 接口</w:t>
      </w:r>
      <w:r>
        <w:t xml:space="preserve">，并配套 </w:t>
      </w:r>
      <w:r>
        <w:rPr>
          <w:b/>
        </w:rPr>
        <w:t>用户体系、API Key、分组与模型倍率、用量与计费、管理后台与营销官网</w:t>
      </w:r>
      <w:r>
        <w:t>，适合自建「模型聚合 + 精细化运营」的中转站或企业内部网关。</w:t>
      </w:r>
    </w:p>
    <w:p>
      <w:pPr>
        <w:pStyle w:val="Heading1"/>
      </w:pPr>
      <w:r>
        <w:t>2. 目标客户与场景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客户类型</w:t>
            </w:r>
          </w:p>
        </w:tc>
        <w:tc>
          <w:tcPr>
            <w:tcW w:type="dxa" w:w="2880"/>
          </w:tcPr>
          <w:p>
            <w:r>
              <w:t>典型诉求</w:t>
            </w:r>
          </w:p>
        </w:tc>
        <w:tc>
          <w:tcPr>
            <w:tcW w:type="dxa" w:w="2880"/>
          </w:tcPr>
          <w:p>
            <w:r>
              <w:t>TraceHub 如何契合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独立开发者 / 小团队</w:t>
            </w:r>
          </w:p>
        </w:tc>
        <w:tc>
          <w:tcPr>
            <w:tcW w:type="dxa" w:w="2880"/>
          </w:tcPr>
          <w:p>
            <w:r>
              <w:t>想一次接入多模型、少改代码</w:t>
            </w:r>
          </w:p>
        </w:tc>
        <w:tc>
          <w:tcPr>
            <w:tcW w:type="dxa" w:w="2880"/>
          </w:tcPr>
          <w:p>
            <w:r>
              <w:t>OpenAI 兼容协议，现有 SDK/客户端多数可直接指向网关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中小企业 / 内部平台</w:t>
            </w:r>
          </w:p>
        </w:tc>
        <w:tc>
          <w:tcPr>
            <w:tcW w:type="dxa" w:w="2880"/>
          </w:tcPr>
          <w:p>
            <w:r>
              <w:t>要统一入口、成本与权限可管</w:t>
            </w:r>
          </w:p>
        </w:tc>
        <w:tc>
          <w:tcPr>
            <w:tcW w:type="dxa" w:w="2880"/>
          </w:tcPr>
          <w:p>
            <w:r>
              <w:t>用户、Key、分组倍率、用量日志、管理端一站式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准备做 AI 中转/聚合服务</w:t>
            </w:r>
          </w:p>
        </w:tc>
        <w:tc>
          <w:tcPr>
            <w:tcW w:type="dxa" w:w="2880"/>
          </w:tcPr>
          <w:p>
            <w:r>
              <w:t>要可运营、可扩展、可私有化</w:t>
            </w:r>
          </w:p>
        </w:tc>
        <w:tc>
          <w:tcPr>
            <w:tcW w:type="dxa" w:w="2880"/>
          </w:tcPr>
          <w:p>
            <w:r>
              <w:t>计费与兑换码、站点品牌化配置、Docker 一键栈、Prometheus 指标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技术型组织</w:t>
            </w:r>
          </w:p>
        </w:tc>
        <w:tc>
          <w:tcPr>
            <w:tcW w:type="dxa" w:w="2880"/>
          </w:tcPr>
          <w:p>
            <w:r>
              <w:t>要可控、可审计、可观测</w:t>
            </w:r>
          </w:p>
        </w:tc>
        <w:tc>
          <w:tcPr>
            <w:tcW w:type="dxa" w:w="2880"/>
          </w:tcPr>
          <w:p>
            <w:r>
              <w:t>密钥加密存储、审计日志、健康检查与 `/metrics`</w:t>
            </w:r>
          </w:p>
        </w:tc>
      </w:tr>
    </w:tbl>
    <w:p>
      <w:pPr>
        <w:pStyle w:val="Heading1"/>
      </w:pPr>
      <w:r>
        <w:t>3. 商业价值（核心卖点）</w:t>
      </w:r>
    </w:p>
    <w:p>
      <w:pPr>
        <w:pStyle w:val="ListNumber"/>
      </w:pPr>
      <w:r>
        <w:rPr>
          <w:b/>
        </w:rPr>
        <w:t>统一接入，降低集成成本</w:t>
      </w:r>
    </w:p>
    <w:p>
      <w:r>
        <w:t xml:space="preserve">下游只对接 </w:t>
      </w:r>
      <w:r>
        <w:rPr>
          <w:b/>
        </w:rPr>
        <w:t>OpenAI 风格 API</w:t>
      </w:r>
      <w:r>
        <w:t>；上游可以是 OpenAI 协议、原生 Claude、原生 Gemini 等，由网关完成协议与流式输出的对齐。</w:t>
      </w:r>
    </w:p>
    <w:p>
      <w:pPr>
        <w:pStyle w:val="ListNumber"/>
      </w:pPr>
      <w:r>
        <w:rPr>
          <w:b/>
        </w:rPr>
        <w:t>可运营的「商业化骨架」</w:t>
      </w:r>
    </w:p>
    <w:p>
      <w:r>
        <w:t>用户注册登录、API Key（哈希存储）、余额与用量、</w:t>
      </w:r>
      <w:r>
        <w:rPr>
          <w:b/>
        </w:rPr>
        <w:t>兑换码</w:t>
      </w:r>
      <w:r>
        <w:t>、分组与模型倍率等，支撑「拉新—转化—留存」的基础运营闭环。（在线支付等能力见项目路线图。）</w:t>
      </w:r>
    </w:p>
    <w:p>
      <w:pPr>
        <w:pStyle w:val="ListNumber"/>
      </w:pPr>
      <w:r>
        <w:rPr>
          <w:b/>
        </w:rPr>
        <w:t>调度与计费可解释、可调参</w:t>
      </w:r>
    </w:p>
    <w:p>
      <w:r>
        <w:t>按分组与模型筛选渠道、</w:t>
      </w:r>
      <w:r>
        <w:rPr>
          <w:b/>
        </w:rPr>
        <w:t>加权随机</w:t>
      </w:r>
      <w:r>
        <w:t xml:space="preserve">路由；可选 </w:t>
      </w:r>
      <w:r>
        <w:rPr>
          <w:b/>
        </w:rPr>
        <w:t>Redis 粘性会话</w:t>
      </w:r>
      <w:r>
        <w:t xml:space="preserve">；计费侧支持 </w:t>
      </w:r>
      <w:r>
        <w:rPr>
          <w:b/>
        </w:rPr>
        <w:t>Token 估算与扣减</w:t>
      </w:r>
      <w:r>
        <w:t>、</w:t>
      </w:r>
      <w:r>
        <w:rPr>
          <w:b/>
        </w:rPr>
        <w:t>分组 / 用户 / 单模型</w:t>
      </w:r>
      <w:r>
        <w:t xml:space="preserve"> 相关倍率参与计价；并支持 </w:t>
      </w:r>
      <w:r>
        <w:rPr>
          <w:b/>
        </w:rPr>
        <w:t>全局免计费模型</w:t>
      </w:r>
      <w:r>
        <w:t xml:space="preserve"> 与分组级计费开关等灵活策略。</w:t>
      </w:r>
    </w:p>
    <w:p>
      <w:pPr>
        <w:pStyle w:val="ListNumber"/>
      </w:pPr>
      <w:r>
        <w:rPr>
          <w:b/>
        </w:rPr>
        <w:t>安全与合规友好设计</w:t>
      </w:r>
    </w:p>
    <w:p>
      <w:r>
        <w:t xml:space="preserve">上游渠道密钥 </w:t>
      </w:r>
      <w:r>
        <w:rPr>
          <w:b/>
        </w:rPr>
        <w:t>AES-GCM 加密存储</w:t>
      </w:r>
      <w:r>
        <w:t xml:space="preserve">；管理端敏感操作 </w:t>
      </w:r>
      <w:r>
        <w:rPr>
          <w:b/>
        </w:rPr>
        <w:t>审计日志</w:t>
      </w:r>
      <w:r>
        <w:t xml:space="preserve">；可选 </w:t>
      </w:r>
      <w:r>
        <w:rPr>
          <w:b/>
        </w:rPr>
        <w:t>登录图形验证码</w:t>
      </w:r>
      <w:r>
        <w:t>、</w:t>
      </w:r>
      <w:r>
        <w:rPr>
          <w:b/>
        </w:rPr>
        <w:t>邮件验证码登录/注册</w:t>
      </w:r>
      <w:r>
        <w:t>；`/metrics` 可配置 Bearer 保护。</w:t>
      </w:r>
    </w:p>
    <w:p>
      <w:pPr>
        <w:pStyle w:val="ListNumber"/>
      </w:pPr>
      <w:r>
        <w:rPr>
          <w:b/>
        </w:rPr>
        <w:t>部署形态灵活</w:t>
      </w:r>
    </w:p>
    <w:p>
      <w:r>
        <w:t xml:space="preserve">支持 </w:t>
      </w:r>
      <w:r>
        <w:rPr>
          <w:b/>
        </w:rPr>
        <w:t>Docker Compose 一体化</w:t>
      </w:r>
      <w:r>
        <w:t xml:space="preserve">环境；前端构建产物可由 </w:t>
      </w:r>
      <w:r>
        <w:rPr>
          <w:b/>
        </w:rPr>
        <w:t>Go 单进程托管 SPA</w:t>
      </w:r>
      <w:r>
        <w:t>，适合轻量上线。</w:t>
      </w:r>
    </w:p>
    <w:p>
      <w:pPr>
        <w:pStyle w:val="Heading1"/>
      </w:pPr>
      <w:r>
        <w:t>4. 功能亮点（当前版本已实现）</w:t>
      </w:r>
    </w:p>
    <w:p>
      <w:pPr>
        <w:pStyle w:val="Heading2"/>
      </w:pPr>
      <w:r>
        <w:t>4.1 网关与协议兼容</w:t>
      </w:r>
    </w:p>
    <w:p>
      <w:pPr>
        <w:pStyle w:val="ListBullet"/>
      </w:pPr>
      <w:r>
        <w:rPr>
          <w:b/>
        </w:rPr>
        <w:t>`POST /v1/chat/completions`</w:t>
      </w:r>
      <w:r>
        <w:t xml:space="preserve">：支持 </w:t>
      </w:r>
      <w:r>
        <w:rPr>
          <w:b/>
        </w:rPr>
        <w:t>SSE 流式</w:t>
      </w:r>
      <w:r>
        <w:t>；OpenAI 兼容上游可直接转发。</w:t>
      </w:r>
    </w:p>
    <w:p>
      <w:pPr>
        <w:pStyle w:val="ListBullet"/>
      </w:pPr>
      <w:r>
        <w:rPr>
          <w:b/>
        </w:rPr>
        <w:t>原生 Claude / Gemini 渠道</w:t>
      </w:r>
      <w:r>
        <w:t xml:space="preserve">：将上游流式结果转为 </w:t>
      </w:r>
      <w:r>
        <w:rPr>
          <w:b/>
        </w:rPr>
        <w:t>OpenAI 风格的 `chat.completion.chunk`</w:t>
      </w:r>
      <w:r>
        <w:t>，下游集成成本低。</w:t>
      </w:r>
    </w:p>
    <w:p>
      <w:pPr>
        <w:pStyle w:val="ListBullet"/>
      </w:pPr>
      <w:r>
        <w:rPr>
          <w:b/>
        </w:rPr>
        <w:t>`GET /v1/models`</w:t>
      </w:r>
      <w:r>
        <w:t>：返回对用户可用的模型列表。</w:t>
      </w:r>
    </w:p>
    <w:p>
      <w:pPr>
        <w:pStyle w:val="ListBullet"/>
      </w:pPr>
      <w:r>
        <w:rPr>
          <w:b/>
        </w:rPr>
        <w:t>安全默认</w:t>
      </w:r>
      <w:r>
        <w:t xml:space="preserve">：可配置拦截 `/v1` 下部分 </w:t>
      </w:r>
      <w:r>
        <w:rPr>
          <w:b/>
        </w:rPr>
        <w:t>OpenAI 账号/控制台类路径</w:t>
      </w:r>
      <w:r>
        <w:t>，降低误暴露风险。</w:t>
      </w:r>
    </w:p>
    <w:p>
      <w:pPr>
        <w:pStyle w:val="ListBullet"/>
      </w:pPr>
      <w:r>
        <w:rPr>
          <w:b/>
        </w:rPr>
        <w:t>可选透传</w:t>
      </w:r>
      <w:r>
        <w:t>：按白名单透传更多 `/v1/*`（默认关闭），满足进阶扩展。</w:t>
      </w:r>
    </w:p>
    <w:p>
      <w:pPr>
        <w:pStyle w:val="Heading2"/>
      </w:pPr>
      <w:r>
        <w:t>4.2 智能路由</w:t>
      </w:r>
    </w:p>
    <w:p>
      <w:pPr>
        <w:pStyle w:val="ListBullet"/>
      </w:pPr>
      <w:r>
        <w:t xml:space="preserve">按用户 </w:t>
      </w:r>
      <w:r>
        <w:rPr>
          <w:b/>
        </w:rPr>
        <w:t>分组 + 模型</w:t>
      </w:r>
      <w:r>
        <w:t xml:space="preserve"> 筛选渠道；</w:t>
      </w:r>
      <w:r>
        <w:rPr>
          <w:b/>
        </w:rPr>
        <w:t>优先级 + 权重</w:t>
      </w:r>
      <w:r>
        <w:t xml:space="preserve"> 随机选择。</w:t>
      </w:r>
    </w:p>
    <w:p>
      <w:pPr>
        <w:pStyle w:val="ListBullet"/>
      </w:pPr>
      <w:r>
        <w:rPr>
          <w:b/>
        </w:rPr>
        <w:t>可选 Redis 粘性会话</w:t>
      </w:r>
      <w:r>
        <w:t>：同一会话尽量固定上游，改善连续对话体验。</w:t>
      </w:r>
    </w:p>
    <w:p>
      <w:pPr>
        <w:pStyle w:val="Heading2"/>
      </w:pPr>
      <w:r>
        <w:t>4.3 计费与额度</w:t>
      </w:r>
    </w:p>
    <w:p>
      <w:pPr>
        <w:pStyle w:val="ListBullet"/>
      </w:pPr>
      <w:r>
        <w:rPr>
          <w:b/>
        </w:rPr>
        <w:t>Token 估算与实际用量</w:t>
      </w:r>
      <w:r>
        <w:t xml:space="preserve"> 驱动的额度扣减。</w:t>
      </w:r>
    </w:p>
    <w:p>
      <w:pPr>
        <w:pStyle w:val="ListBullet"/>
      </w:pPr>
      <w:r>
        <w:rPr>
          <w:b/>
        </w:rPr>
        <w:t>分组倍率、用户维度、单模型倍率</w:t>
      </w:r>
      <w:r>
        <w:t xml:space="preserve"> 组合计价。</w:t>
      </w:r>
    </w:p>
    <w:p>
      <w:pPr>
        <w:pStyle w:val="ListBullet"/>
      </w:pPr>
      <w:r>
        <w:rPr>
          <w:b/>
        </w:rPr>
        <w:t>全局不计费模型</w:t>
      </w:r>
      <w:r>
        <w:t xml:space="preserve"> 与分组覆盖；不计费仍可记录用量日志。</w:t>
      </w:r>
    </w:p>
    <w:p>
      <w:pPr>
        <w:pStyle w:val="Heading2"/>
      </w:pPr>
      <w:r>
        <w:t>4.4 用户侧</w:t>
      </w:r>
    </w:p>
    <w:p>
      <w:pPr>
        <w:pStyle w:val="ListBullet"/>
      </w:pPr>
      <w:r>
        <w:rPr>
          <w:b/>
        </w:rPr>
        <w:t>注册 / 登录（JWT）</w:t>
      </w:r>
      <w:r>
        <w:t>、修改密码。</w:t>
      </w:r>
    </w:p>
    <w:p>
      <w:pPr>
        <w:pStyle w:val="ListBullet"/>
      </w:pPr>
      <w:r>
        <w:rPr>
          <w:b/>
        </w:rPr>
        <w:t>API Key</w:t>
      </w:r>
      <w:r>
        <w:t xml:space="preserve"> 管理；Key </w:t>
      </w:r>
      <w:r>
        <w:rPr>
          <w:b/>
        </w:rPr>
        <w:t>哈希存储</w:t>
      </w:r>
      <w:r>
        <w:t>。</w:t>
      </w:r>
    </w:p>
    <w:p>
      <w:pPr>
        <w:pStyle w:val="ListBullet"/>
      </w:pPr>
      <w:r>
        <w:rPr>
          <w:b/>
        </w:rPr>
        <w:t>余额与用量</w:t>
      </w:r>
      <w:r>
        <w:t>、</w:t>
      </w:r>
      <w:r>
        <w:rPr>
          <w:b/>
        </w:rPr>
        <w:t>兑换码兑换</w:t>
      </w:r>
      <w:r>
        <w:t>。</w:t>
      </w:r>
    </w:p>
    <w:p>
      <w:pPr>
        <w:pStyle w:val="ListBullet"/>
      </w:pPr>
      <w:r>
        <w:rPr>
          <w:b/>
        </w:rPr>
        <w:t>邮件验证码</w:t>
      </w:r>
      <w:r>
        <w:t xml:space="preserve">（SMTP 可配置）；可选 </w:t>
      </w:r>
      <w:r>
        <w:rPr>
          <w:b/>
        </w:rPr>
        <w:t>简中 / 繁中 / English</w:t>
      </w:r>
      <w:r>
        <w:t xml:space="preserve"> 邮件策略。</w:t>
      </w:r>
    </w:p>
    <w:p>
      <w:pPr>
        <w:pStyle w:val="ListBullet"/>
      </w:pPr>
      <w:r>
        <w:rPr>
          <w:b/>
        </w:rPr>
        <w:t>登录图形验证码</w:t>
      </w:r>
      <w:r>
        <w:t>（依赖 Redis 时可开启）。</w:t>
      </w:r>
    </w:p>
    <w:p>
      <w:pPr>
        <w:pStyle w:val="Heading2"/>
      </w:pPr>
      <w:r>
        <w:t>4.5 管理后台</w:t>
      </w:r>
    </w:p>
    <w:p>
      <w:pPr>
        <w:pStyle w:val="ListBullet"/>
      </w:pPr>
      <w:r>
        <w:rPr>
          <w:b/>
        </w:rPr>
        <w:t>用户与渠道</w:t>
      </w:r>
      <w:r>
        <w:t xml:space="preserve">管理；渠道密钥 </w:t>
      </w:r>
      <w:r>
        <w:rPr>
          <w:b/>
        </w:rPr>
        <w:t>加密落库</w:t>
      </w:r>
      <w:r>
        <w:t>。</w:t>
      </w:r>
    </w:p>
    <w:p>
      <w:pPr>
        <w:pStyle w:val="ListBullet"/>
      </w:pPr>
      <w:r>
        <w:rPr>
          <w:b/>
        </w:rPr>
        <w:t>分组与模型倍率</w:t>
      </w:r>
      <w:r>
        <w:t>、</w:t>
      </w:r>
      <w:r>
        <w:rPr>
          <w:b/>
        </w:rPr>
        <w:t>调用日志</w:t>
      </w:r>
      <w:r>
        <w:t>查询。</w:t>
      </w:r>
    </w:p>
    <w:p>
      <w:pPr>
        <w:pStyle w:val="ListBullet"/>
      </w:pPr>
      <w:r>
        <w:rPr>
          <w:b/>
        </w:rPr>
        <w:t>兑换码批量生成</w:t>
      </w:r>
      <w:r>
        <w:t>与核销。</w:t>
      </w:r>
    </w:p>
    <w:p>
      <w:pPr>
        <w:pStyle w:val="ListBullet"/>
      </w:pPr>
      <w:r>
        <w:rPr>
          <w:b/>
        </w:rPr>
        <w:t>审计日志</w:t>
      </w:r>
      <w:r>
        <w:t>。</w:t>
      </w:r>
    </w:p>
    <w:p>
      <w:pPr>
        <w:pStyle w:val="ListBullet"/>
      </w:pPr>
      <w:r>
        <w:rPr>
          <w:b/>
        </w:rPr>
        <w:t>站点与品牌</w:t>
      </w:r>
      <w:r>
        <w:t>：版本号、运营方展示名、CORS、新用户默认额度、注册推广文案等可配置；支持本地上传品牌图标。</w:t>
      </w:r>
    </w:p>
    <w:p>
      <w:pPr>
        <w:pStyle w:val="Heading2"/>
      </w:pPr>
      <w:r>
        <w:t>4.6 前端</w:t>
      </w:r>
    </w:p>
    <w:p>
      <w:pPr>
        <w:pStyle w:val="ListBullet"/>
      </w:pPr>
      <w:r>
        <w:rPr>
          <w:b/>
        </w:rPr>
        <w:t>营销官网</w:t>
      </w:r>
      <w:r>
        <w:t>：Hero、模型展示、价格与 FAQ。</w:t>
      </w:r>
    </w:p>
    <w:p>
      <w:pPr>
        <w:pStyle w:val="ListBullet"/>
      </w:pPr>
      <w:r>
        <w:rPr>
          <w:b/>
        </w:rPr>
        <w:t>用户控制台</w:t>
      </w:r>
      <w:r>
        <w:t>、</w:t>
      </w:r>
      <w:r>
        <w:rPr>
          <w:b/>
        </w:rPr>
        <w:t>管理后台</w:t>
      </w:r>
      <w:r>
        <w:t>。</w:t>
      </w:r>
    </w:p>
    <w:p>
      <w:pPr>
        <w:pStyle w:val="ListBullet"/>
      </w:pPr>
      <w:r>
        <w:t>多语言文案支持（简中 / 繁中 / English 等）。</w:t>
      </w:r>
    </w:p>
    <w:p>
      <w:pPr>
        <w:pStyle w:val="Heading2"/>
      </w:pPr>
      <w:r>
        <w:t>4.7 可观测性与运维</w:t>
      </w:r>
    </w:p>
    <w:p>
      <w:pPr>
        <w:pStyle w:val="ListBullet"/>
      </w:pPr>
      <w:r>
        <w:rPr>
          <w:b/>
        </w:rPr>
        <w:t>`/health`、`/ready`</w:t>
      </w:r>
      <w:r>
        <w:t>。</w:t>
      </w:r>
    </w:p>
    <w:p>
      <w:pPr>
        <w:pStyle w:val="ListBullet"/>
      </w:pPr>
      <w:r>
        <w:rPr>
          <w:b/>
        </w:rPr>
        <w:t>`/metrics`（Prometheus）</w:t>
      </w:r>
      <w:r>
        <w:t>。</w:t>
      </w:r>
    </w:p>
    <w:p>
      <w:pPr>
        <w:pStyle w:val="ListBullet"/>
      </w:pPr>
      <w:r>
        <w:t>配置集中 YAML，便于多环境发布。</w:t>
      </w:r>
    </w:p>
    <w:p>
      <w:pPr>
        <w:pStyle w:val="Heading1"/>
      </w:pPr>
      <w:r>
        <w:t>5. 技术架构摘要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维度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后端</w:t>
            </w:r>
          </w:p>
        </w:tc>
        <w:tc>
          <w:tcPr>
            <w:tcW w:type="dxa" w:w="4320"/>
          </w:tcPr>
          <w:p>
            <w:r>
              <w:t>Go 1.25+、Gin、Ent ORM、PostgreSQL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缓存</w:t>
            </w:r>
          </w:p>
        </w:tc>
        <w:tc>
          <w:tcPr>
            <w:tcW w:type="dxa" w:w="4320"/>
          </w:tcPr>
          <w:p>
            <w:r>
              <w:t>Redis 7+（可选；部分能力无 Redis 时降级）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前端</w:t>
            </w:r>
          </w:p>
        </w:tc>
        <w:tc>
          <w:tcPr>
            <w:tcW w:type="dxa" w:w="4320"/>
          </w:tcPr>
          <w:p>
            <w:r>
              <w:t>Vue 3、Vite、Tailwind CSS v4、Pinia、Vue Router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许可证</w:t>
            </w:r>
          </w:p>
        </w:tc>
        <w:tc>
          <w:tcPr>
            <w:tcW w:type="dxa" w:w="4320"/>
          </w:tcPr>
          <w:p>
            <w:r>
              <w:t>MIT</w:t>
            </w:r>
          </w:p>
        </w:tc>
      </w:tr>
    </w:tbl>
    <w:p>
      <w:pPr>
        <w:pStyle w:val="Heading1"/>
      </w:pPr>
      <w:r>
        <w:t>6. 路线图说明（售前对齐）</w:t>
      </w:r>
    </w:p>
    <w:p>
      <w:r>
        <w:t>部分能力在产品愿景与 `docs/development-docs/milestones-roadmap.md` 中规划，例如：在线支付（支付宝/微信/Stripe）、OAuth 登录、更细粒度 RBAC、Webhook、语义缓存等。</w:t>
      </w:r>
      <w:r>
        <w:rPr>
          <w:b/>
        </w:rPr>
        <w:t>以仓库 README 中「已实现能力概要」为准</w:t>
      </w:r>
      <w:r>
        <w:t>做投标与交付边界；完整愿景见 `docs/产品文档.md`。</w:t>
      </w:r>
    </w:p>
    <w:p>
      <w:pPr>
        <w:pStyle w:val="Heading1"/>
      </w:pPr>
      <w:r>
        <w:t>7. 定价与「倍率」沟通建议（运营附录）</w:t>
      </w:r>
    </w:p>
    <w:p>
      <w:pPr>
        <w:pStyle w:val="ListBullet"/>
      </w:pPr>
      <w:r>
        <w:rPr>
          <w:b/>
        </w:rPr>
        <w:t>对客户</w:t>
      </w:r>
      <w:r>
        <w:t xml:space="preserve">：优先讲清 </w:t>
      </w:r>
      <w:r>
        <w:rPr>
          <w:b/>
        </w:rPr>
        <w:t>最终单价与计费规则</w:t>
      </w:r>
      <w:r>
        <w:t>（如每百万 token 对应额度/人民币）；可用「不同分组不同折扣」表述，不必逐条暴露后台倍率数字。</w:t>
      </w:r>
    </w:p>
    <w:p>
      <w:pPr>
        <w:pStyle w:val="ListBullet"/>
      </w:pPr>
      <w:r>
        <w:rPr>
          <w:b/>
        </w:rPr>
        <w:t>起步调价</w:t>
      </w:r>
      <w:r>
        <w:t xml:space="preserve">：在已覆盖上游成本与运维成本的基准上，拉新阶段分组倍率常见试水区间为 </w:t>
      </w:r>
      <w:r>
        <w:rPr>
          <w:b/>
        </w:rPr>
        <w:t>0.9～0.95</w:t>
      </w:r>
      <w:r>
        <w:t>；再低建议配合限时活动或兑换码，避免长期全站亏损。</w:t>
      </w:r>
    </w:p>
    <w:p>
      <w:pPr>
        <w:pStyle w:val="Heading1"/>
      </w:pPr>
      <w:r>
        <w:t>8. 行动号召（CTA）</w:t>
      </w:r>
    </w:p>
    <w:p>
      <w:pPr>
        <w:pStyle w:val="ListBullet"/>
      </w:pPr>
      <w:r>
        <w:rPr>
          <w:b/>
        </w:rPr>
        <w:t>技术验证</w:t>
      </w:r>
      <w:r>
        <w:t>：使用仓库内 Docker Compose 拉起栈，验证「注册 → API Key → 调模型 → 日志与扣费」全链路。</w:t>
      </w:r>
    </w:p>
    <w:p>
      <w:pPr>
        <w:pStyle w:val="ListBullet"/>
      </w:pPr>
      <w:r>
        <w:rPr>
          <w:b/>
        </w:rPr>
        <w:t>商务定制</w:t>
      </w:r>
      <w:r>
        <w:t>：支付对接、企业 SSO、合规字段等建议在 POC 清单中明确接口与合规要求后再评估工时。</w:t>
      </w:r>
    </w:p>
    <w:p>
      <w:r>
        <w:rPr>
          <w:i/>
        </w:rPr>
        <w:t>文档版本：与销售对话整理一致；产品以开源仓库 README 与发布说明为准。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