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b/>
          <w:sz w:val="28"/>
        </w:rPr>
        <w:t>Tables</w:t>
      </w:r>
    </w:p>
    <w:p>
      <w:pPr>
        <w:jc w:val="both"/>
      </w:pPr>
      <w:r>
        <w:rPr>
          <w:i/>
        </w:rPr>
        <w:t>Same occupation, different pay: decomposing the gender wage gap within 4-digit occupations in Chile</w:t>
      </w:r>
    </w:p>
    <w:p>
      <w:pPr>
        <w:spacing w:before="240" w:after="20"/>
        <w:jc w:val="left"/>
      </w:pPr>
      <w:r>
        <w:rPr>
          <w:b/>
        </w:rPr>
        <w:t>Table 1</w:t>
      </w:r>
    </w:p>
    <w:p>
      <w:pPr>
        <w:spacing w:after="120"/>
        <w:jc w:val="left"/>
      </w:pPr>
      <w:r>
        <w:rPr>
          <w:i/>
        </w:rPr>
        <w:t>Adjusted Gender Gap by Granularity of the Occupational Control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b/>
              </w:rPr>
            </w:r>
            <w:r>
              <w:rPr>
                <w:b/>
                <w:sz w:val="20"/>
              </w:rPr>
              <w:t>Specification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b/>
              </w:rPr>
            </w:r>
            <w:r>
              <w:rPr>
                <w:b/>
                <w:sz w:val="20"/>
              </w:rPr>
              <w:t>Adjusted gap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b/>
              </w:rPr>
            </w:r>
            <w:r>
              <w:rPr>
                <w:b/>
                <w:sz w:val="20"/>
              </w:rPr>
              <w:t>95% CI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b/>
              </w:rPr>
            </w:r>
            <w:r>
              <w:rPr>
                <w:b/>
                <w:sz w:val="20"/>
              </w:rPr>
              <w:t>SE (log)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b/>
              </w:rPr>
            </w:r>
            <w:r>
              <w:rPr>
                <w:b/>
                <w:sz w:val="20"/>
              </w:rPr>
              <w:t>R²</w:t>
            </w:r>
          </w:p>
        </w:tc>
      </w:tr>
      <w:tr>
        <w:tc>
          <w:tcPr>
            <w:tcW w:type="dxa" w:w="1881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1-digit occupation (~9 categories)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-20.9%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[-21.7, -20.0]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0.0052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.488</w:t>
            </w:r>
          </w:p>
        </w:tc>
      </w:tr>
      <w:tr>
        <w:tc>
          <w:tcPr>
            <w:tcW w:type="dxa" w:w="1881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4-digit occupation (354 categories)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-15.3%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[-16.2, -14.4]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0.0055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.537</w:t>
            </w:r>
          </w:p>
        </w:tc>
      </w:tr>
      <w:tr>
        <w:tc>
          <w:tcPr>
            <w:tcW w:type="dxa" w:w="1881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Difference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+5.6 pp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/>
          </w:p>
        </w:tc>
        <w:tc>
          <w:tcPr>
            <w:tcW w:type="dxa" w:w="1881"/>
          </w:tcPr>
          <w:p>
            <w:pPr>
              <w:spacing w:after="40" w:line="240" w:lineRule="auto"/>
            </w:pPr>
            <w:r/>
          </w:p>
        </w:tc>
        <w:tc>
          <w:tcPr>
            <w:tcW w:type="dxa" w:w="1881"/>
          </w:tcPr>
          <w:p>
            <w:pPr>
              <w:spacing w:after="40" w:line="240" w:lineRule="auto"/>
            </w:pPr>
            <w:r/>
          </w:p>
        </w:tc>
      </w:tr>
    </w:tbl>
    <w:p>
      <w:pPr>
        <w:spacing w:before="80" w:after="240"/>
        <w:jc w:val="left"/>
      </w:pPr>
      <w:r>
        <w:rPr>
          <w:i/>
          <w:sz w:val="20"/>
        </w:rPr>
        <w:t>Note.</w:t>
      </w:r>
      <w:r>
        <w:rPr>
          <w:sz w:val="20"/>
        </w:rPr>
        <w:t xml:space="preserve"> Weighted least squares with expansion factors; design-based standard errors (Taylor linearization with strata and clusters). </w:t>
      </w:r>
      <w:r>
        <w:rPr>
          <w:i/>
          <w:sz w:val="20"/>
        </w:rPr>
        <w:t>n</w:t>
      </w:r>
      <w:r>
        <w:rPr>
          <w:sz w:val="20"/>
        </w:rPr>
        <w:t xml:space="preserve"> = 174,924. Source: authors' elaboration based on CASEN 2022 and 2024.</w:t>
      </w:r>
    </w:p>
    <w:p>
      <w:pPr>
        <w:spacing w:before="240" w:after="20"/>
        <w:jc w:val="left"/>
      </w:pPr>
      <w:r>
        <w:rPr>
          <w:b/>
        </w:rPr>
        <w:t>Table 2</w:t>
      </w:r>
    </w:p>
    <w:p>
      <w:pPr>
        <w:spacing w:after="120"/>
        <w:jc w:val="left"/>
      </w:pPr>
      <w:r>
        <w:rPr>
          <w:i/>
        </w:rPr>
        <w:t>Oaxaca-Blinder Decomposition of the Total Wage Gap (Male Reference)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b/>
              </w:rPr>
            </w:r>
            <w:r>
              <w:rPr>
                <w:b/>
                <w:sz w:val="20"/>
              </w:rPr>
              <w:t>Factor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b/>
              </w:rPr>
            </w:r>
            <w:r>
              <w:rPr>
                <w:b/>
                <w:sz w:val="20"/>
              </w:rPr>
              <w:t>Without children/marital status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b/>
              </w:rPr>
            </w:r>
            <w:r>
              <w:rPr>
                <w:b/>
                <w:sz w:val="20"/>
              </w:rPr>
              <w:t>With children/marital status</w:t>
            </w:r>
          </w:p>
        </w:tc>
      </w:tr>
      <w:tr>
        <w:tc>
          <w:tcPr>
            <w:tcW w:type="dxa" w:w="3135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Hours worked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+28.7%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+27.8%</w:t>
            </w:r>
          </w:p>
        </w:tc>
      </w:tr>
      <w:tr>
        <w:tc>
          <w:tcPr>
            <w:tcW w:type="dxa" w:w="3135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Occupation (4 digits)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+17.0%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+14.2%</w:t>
            </w:r>
          </w:p>
        </w:tc>
      </w:tr>
      <w:tr>
        <w:tc>
          <w:tcPr>
            <w:tcW w:type="dxa" w:w="3135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Marital status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—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+1.8%</w:t>
            </w:r>
          </w:p>
        </w:tc>
      </w:tr>
      <w:tr>
        <w:tc>
          <w:tcPr>
            <w:tcW w:type="dxa" w:w="3135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Has children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—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-1.4%</w:t>
            </w:r>
          </w:p>
        </w:tc>
      </w:tr>
      <w:tr>
        <w:tc>
          <w:tcPr>
            <w:tcW w:type="dxa" w:w="3135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Age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-1.1%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-2.0%</w:t>
            </w:r>
          </w:p>
        </w:tc>
      </w:tr>
      <w:tr>
        <w:tc>
          <w:tcPr>
            <w:tcW w:type="dxa" w:w="3135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Education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-10.8%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-10.9%</w:t>
            </w:r>
          </w:p>
        </w:tc>
      </w:tr>
      <w:tr>
        <w:tc>
          <w:tcPr>
            <w:tcW w:type="dxa" w:w="3135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Year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-0.4%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-0.4%</w:t>
            </w:r>
          </w:p>
        </w:tc>
      </w:tr>
      <w:tr>
        <w:tc>
          <w:tcPr>
            <w:tcW w:type="dxa" w:w="3135"/>
          </w:tcPr>
          <w:p>
            <w:pPr>
              <w:spacing w:after="40" w:line="240" w:lineRule="auto"/>
            </w:pPr>
            <w:r/>
            <w:r>
              <w:rPr>
                <w:b/>
                <w:sz w:val="20"/>
              </w:rPr>
              <w:t>Unexplained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/>
            <w:r>
              <w:rPr>
                <w:b/>
                <w:sz w:val="20"/>
              </w:rPr>
              <w:t>66.6%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/>
            <w:r>
              <w:rPr>
                <w:b/>
                <w:sz w:val="20"/>
              </w:rPr>
              <w:t>70.9%</w:t>
            </w:r>
          </w:p>
        </w:tc>
      </w:tr>
    </w:tbl>
    <w:p>
      <w:pPr>
        <w:spacing w:before="80" w:after="240"/>
        <w:jc w:val="left"/>
      </w:pPr>
      <w:r>
        <w:rPr>
          <w:i/>
          <w:sz w:val="20"/>
        </w:rPr>
        <w:t>Note.</w:t>
      </w:r>
      <w:r>
        <w:rPr>
          <w:sz w:val="20"/>
        </w:rPr>
        <w:t xml:space="preserve"> Percentages of the total log gap attributable to the composition of each factor; negative values indicate factors operating in women's favor. Under female and pooled reference vectors the unexplained component is 49.0% and 65.8% respectively, with an identical ordering of factors. Source: authors' elaboration based on CASEN 2022 and 2024.</w:t>
      </w:r>
    </w:p>
    <w:p>
      <w:pPr>
        <w:spacing w:before="240" w:after="20"/>
        <w:jc w:val="left"/>
      </w:pPr>
      <w:r>
        <w:rPr>
          <w:b/>
        </w:rPr>
        <w:t>Table 3</w:t>
      </w:r>
    </w:p>
    <w:p>
      <w:pPr>
        <w:spacing w:after="120"/>
        <w:jc w:val="left"/>
      </w:pPr>
      <w:r>
        <w:rPr>
          <w:i/>
        </w:rPr>
        <w:t>Associations of Parenthood and Marital Status With Labor Income, by Sex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b/>
              </w:rPr>
            </w:r>
            <w:r>
              <w:rPr>
                <w:b/>
                <w:sz w:val="20"/>
              </w:rPr>
              <w:t>Term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b/>
              </w:rPr>
            </w:r>
            <w:r>
              <w:rPr>
                <w:b/>
                <w:sz w:val="20"/>
              </w:rPr>
              <w:t>Association with income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b/>
              </w:rPr>
            </w:r>
            <w:r>
              <w:rPr>
                <w:b/>
                <w:sz w:val="20"/>
              </w:rPr>
              <w:t>p value</w:t>
            </w:r>
          </w:p>
        </w:tc>
      </w:tr>
      <w:tr>
        <w:tc>
          <w:tcPr>
            <w:tcW w:type="dxa" w:w="3135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Female (base gap)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-12.3%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&lt; .001</w:t>
            </w:r>
          </w:p>
        </w:tc>
      </w:tr>
      <w:tr>
        <w:tc>
          <w:tcPr>
            <w:tcW w:type="dxa" w:w="3135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Has children (association for men)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+5.0%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&lt; .001</w:t>
            </w:r>
          </w:p>
        </w:tc>
      </w:tr>
      <w:tr>
        <w:tc>
          <w:tcPr>
            <w:tcW w:type="dxa" w:w="3135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Female × has children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-7.8%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&lt; .001</w:t>
            </w:r>
          </w:p>
        </w:tc>
      </w:tr>
      <w:tr>
        <w:tc>
          <w:tcPr>
            <w:tcW w:type="dxa" w:w="3135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Female × single (vs. married/cohabiting)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+5.3%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&lt; .001</w:t>
            </w:r>
          </w:p>
        </w:tc>
      </w:tr>
    </w:tbl>
    <w:p>
      <w:pPr>
        <w:spacing w:before="80" w:after="240"/>
        <w:jc w:val="left"/>
      </w:pPr>
      <w:r>
        <w:rPr>
          <w:i/>
          <w:sz w:val="20"/>
        </w:rPr>
        <w:t>Note.</w:t>
      </w:r>
      <w:r>
        <w:rPr>
          <w:sz w:val="20"/>
        </w:rPr>
        <w:t xml:space="preserve"> Weighted least squares with interactions; marital status reference: married or cohabiting. Source: authors' elaboration based on CASEN 2022 and 2024.</w:t>
      </w:r>
    </w:p>
    <w:p>
      <w:pPr>
        <w:spacing w:before="240" w:after="20"/>
        <w:jc w:val="left"/>
      </w:pPr>
      <w:r>
        <w:rPr>
          <w:b/>
        </w:rPr>
        <w:t>Table 4</w:t>
      </w:r>
    </w:p>
    <w:p>
      <w:pPr>
        <w:spacing w:after="120"/>
        <w:jc w:val="left"/>
      </w:pPr>
      <w:r>
        <w:rPr>
          <w:i/>
        </w:rPr>
        <w:t>Adjusted Gap by Household Socioeconomic Status and by Educational Level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after="40" w:line="240" w:lineRule="auto"/>
            </w:pPr>
            <w:r>
              <w:rPr>
                <w:b/>
              </w:rPr>
            </w:r>
            <w:r>
              <w:rPr>
                <w:b/>
                <w:sz w:val="20"/>
              </w:rPr>
              <w:t>Segment</w:t>
            </w:r>
          </w:p>
        </w:tc>
        <w:tc>
          <w:tcPr>
            <w:tcW w:type="dxa" w:w="4703"/>
          </w:tcPr>
          <w:p>
            <w:pPr>
              <w:spacing w:after="40" w:line="240" w:lineRule="auto"/>
            </w:pPr>
            <w:r>
              <w:rPr>
                <w:b/>
              </w:rPr>
            </w:r>
            <w:r>
              <w:rPr>
                <w:b/>
                <w:sz w:val="20"/>
              </w:rPr>
              <w:t>Adjusted gap</w:t>
            </w:r>
          </w:p>
        </w:tc>
      </w:tr>
      <w:tr>
        <w:tc>
          <w:tcPr>
            <w:tcW w:type="dxa" w:w="4703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Household SES: low</w:t>
            </w:r>
          </w:p>
        </w:tc>
        <w:tc>
          <w:tcPr>
            <w:tcW w:type="dxa" w:w="4703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-21.2%</w:t>
            </w:r>
          </w:p>
        </w:tc>
      </w:tr>
      <w:tr>
        <w:tc>
          <w:tcPr>
            <w:tcW w:type="dxa" w:w="4703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Household SES: lower-middle</w:t>
            </w:r>
          </w:p>
        </w:tc>
        <w:tc>
          <w:tcPr>
            <w:tcW w:type="dxa" w:w="4703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-17.0%</w:t>
            </w:r>
          </w:p>
        </w:tc>
      </w:tr>
      <w:tr>
        <w:tc>
          <w:tcPr>
            <w:tcW w:type="dxa" w:w="4703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Household SES: upper-middle</w:t>
            </w:r>
          </w:p>
        </w:tc>
        <w:tc>
          <w:tcPr>
            <w:tcW w:type="dxa" w:w="4703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-15.6%</w:t>
            </w:r>
          </w:p>
        </w:tc>
      </w:tr>
      <w:tr>
        <w:tc>
          <w:tcPr>
            <w:tcW w:type="dxa" w:w="4703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Household SES: high</w:t>
            </w:r>
          </w:p>
        </w:tc>
        <w:tc>
          <w:tcPr>
            <w:tcW w:type="dxa" w:w="4703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-11.2%</w:t>
            </w:r>
          </w:p>
        </w:tc>
      </w:tr>
      <w:tr>
        <w:tc>
          <w:tcPr>
            <w:tcW w:type="dxa" w:w="4703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Primary education</w:t>
            </w:r>
          </w:p>
        </w:tc>
        <w:tc>
          <w:tcPr>
            <w:tcW w:type="dxa" w:w="4703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-21.2%</w:t>
            </w:r>
          </w:p>
        </w:tc>
      </w:tr>
      <w:tr>
        <w:tc>
          <w:tcPr>
            <w:tcW w:type="dxa" w:w="4703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Secondary education</w:t>
            </w:r>
          </w:p>
        </w:tc>
        <w:tc>
          <w:tcPr>
            <w:tcW w:type="dxa" w:w="4703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-19.1%</w:t>
            </w:r>
          </w:p>
        </w:tc>
      </w:tr>
      <w:tr>
        <w:tc>
          <w:tcPr>
            <w:tcW w:type="dxa" w:w="4703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Technical tertiary</w:t>
            </w:r>
          </w:p>
        </w:tc>
        <w:tc>
          <w:tcPr>
            <w:tcW w:type="dxa" w:w="4703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-16.9%</w:t>
            </w:r>
          </w:p>
        </w:tc>
      </w:tr>
      <w:tr>
        <w:tc>
          <w:tcPr>
            <w:tcW w:type="dxa" w:w="4703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University</w:t>
            </w:r>
          </w:p>
        </w:tc>
        <w:tc>
          <w:tcPr>
            <w:tcW w:type="dxa" w:w="4703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-8.4%</w:t>
            </w:r>
          </w:p>
        </w:tc>
      </w:tr>
      <w:tr>
        <w:tc>
          <w:tcPr>
            <w:tcW w:type="dxa" w:w="4703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Postgraduate</w:t>
            </w:r>
          </w:p>
        </w:tc>
        <w:tc>
          <w:tcPr>
            <w:tcW w:type="dxa" w:w="4703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-14.6%</w:t>
            </w:r>
          </w:p>
        </w:tc>
      </w:tr>
    </w:tbl>
    <w:p>
      <w:pPr>
        <w:spacing w:before="80" w:after="240"/>
        <w:jc w:val="left"/>
      </w:pPr>
      <w:r>
        <w:rPr>
          <w:i/>
          <w:sz w:val="20"/>
        </w:rPr>
        <w:t>Note.</w:t>
      </w:r>
      <w:r>
        <w:rPr>
          <w:sz w:val="20"/>
        </w:rPr>
        <w:t xml:space="preserve"> SES measured through weighted quintiles of the per capita income of the rest of the household. All estimates control for 4-digit occupation, age, age squared, education, hours, and year. The official household income quintile shows the same gradient (from -22.3% in the first quintile to -10.5% in the fourth). Source: authors' elaboration based on CASEN 2022 and 2024.</w:t>
      </w:r>
    </w:p>
    <w:p>
      <w:pPr>
        <w:spacing w:before="240" w:after="20"/>
        <w:jc w:val="left"/>
      </w:pPr>
      <w:r>
        <w:rPr>
          <w:b/>
        </w:rPr>
        <w:t>Table 5</w:t>
      </w:r>
    </w:p>
    <w:p>
      <w:pPr>
        <w:spacing w:after="120"/>
        <w:jc w:val="left"/>
      </w:pPr>
      <w:r>
        <w:rPr>
          <w:i/>
        </w:rPr>
        <w:t>Adjusted Gap Under Alternative Specifications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b/>
              </w:rPr>
            </w:r>
            <w:r>
              <w:rPr>
                <w:b/>
                <w:sz w:val="20"/>
              </w:rPr>
              <w:t>Specification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b/>
              </w:rPr>
            </w:r>
            <w:r>
              <w:rPr>
                <w:b/>
                <w:sz w:val="20"/>
              </w:rPr>
              <w:t>Adjusted gap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>
              <w:rPr>
                <w:b/>
              </w:rPr>
            </w:r>
            <w:r>
              <w:rPr>
                <w:b/>
                <w:i/>
                <w:sz w:val="20"/>
              </w:rPr>
              <w:t>n</w:t>
            </w:r>
          </w:p>
        </w:tc>
      </w:tr>
      <w:tr>
        <w:tc>
          <w:tcPr>
            <w:tcW w:type="dxa" w:w="3135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Reference: monthly income + hours control, all employed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-15.3%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174,924</w:t>
            </w:r>
          </w:p>
        </w:tc>
      </w:tr>
      <w:tr>
        <w:tc>
          <w:tcPr>
            <w:tcW w:type="dxa" w:w="3135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Maximal specification (all controls; 375 parameters)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-15.6%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174,719</w:t>
            </w:r>
          </w:p>
        </w:tc>
      </w:tr>
      <w:tr>
        <w:tc>
          <w:tcPr>
            <w:tcW w:type="dxa" w:w="3135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Maximal + region and urban/rural fixed effects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-15.7%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174,719</w:t>
            </w:r>
          </w:p>
        </w:tc>
      </w:tr>
      <w:tr>
        <w:tc>
          <w:tcPr>
            <w:tcW w:type="dxa" w:w="3135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Maximal + geography + higher-ed institution type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-15.6%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174,719</w:t>
            </w:r>
          </w:p>
        </w:tc>
      </w:tr>
      <w:tr>
        <w:tc>
          <w:tcPr>
            <w:tcW w:type="dxa" w:w="3135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University graduates only, with institution type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-10.6%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46,532</w:t>
            </w:r>
          </w:p>
        </w:tc>
      </w:tr>
      <w:tr>
        <w:tc>
          <w:tcPr>
            <w:tcW w:type="dxa" w:w="3135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Prime age (25-59)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-14.9%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135,471</w:t>
            </w:r>
          </w:p>
        </w:tc>
      </w:tr>
      <w:tr>
        <w:tc>
          <w:tcPr>
            <w:tcW w:type="dxa" w:w="3135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Income trimmed at percentiles 1-99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-13.0%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171,481</w:t>
            </w:r>
          </w:p>
        </w:tc>
      </w:tr>
      <w:tr>
        <w:tc>
          <w:tcPr>
            <w:tcW w:type="dxa" w:w="3135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Full-time only (40-45 weekly hours)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-12.9%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110,716</w:t>
            </w:r>
          </w:p>
        </w:tc>
      </w:tr>
      <w:tr>
        <w:tc>
          <w:tcPr>
            <w:tcW w:type="dxa" w:w="3135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Formal employees only (pension contributors)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-12.0%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110,098</w:t>
            </w:r>
          </w:p>
        </w:tc>
      </w:tr>
      <w:tr>
        <w:tc>
          <w:tcPr>
            <w:tcW w:type="dxa" w:w="3135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Employees with signed contract only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-11.9%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110,721</w:t>
            </w:r>
          </w:p>
        </w:tc>
      </w:tr>
      <w:tr>
        <w:tc>
          <w:tcPr>
            <w:tcW w:type="dxa" w:w="3135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Formality as a control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-15.2%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174,924</w:t>
            </w:r>
          </w:p>
        </w:tc>
      </w:tr>
      <w:tr>
        <w:tc>
          <w:tcPr>
            <w:tcW w:type="dxa" w:w="3135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Hourly wage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-11.1%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174,924</w:t>
            </w:r>
          </w:p>
        </w:tc>
      </w:tr>
      <w:tr>
        <w:tc>
          <w:tcPr>
            <w:tcW w:type="dxa" w:w="3135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Public sector employees only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-9.8%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27,222</w:t>
            </w:r>
          </w:p>
        </w:tc>
      </w:tr>
      <w:tr>
        <w:tc>
          <w:tcPr>
            <w:tcW w:type="dxa" w:w="3135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Private sector employees only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-12.7%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98,163</w:t>
            </w:r>
          </w:p>
        </w:tc>
      </w:tr>
      <w:tr>
        <w:tc>
          <w:tcPr>
            <w:tcW w:type="dxa" w:w="3135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Self-employed only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-25.5%</w:t>
            </w:r>
          </w:p>
        </w:tc>
        <w:tc>
          <w:tcPr>
            <w:tcW w:type="dxa" w:w="3135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44,697</w:t>
            </w:r>
          </w:p>
        </w:tc>
      </w:tr>
    </w:tbl>
    <w:p>
      <w:pPr>
        <w:spacing w:before="80" w:after="240"/>
        <w:jc w:val="left"/>
      </w:pPr>
      <w:r>
        <w:rPr>
          <w:i/>
          <w:sz w:val="20"/>
        </w:rPr>
        <w:t>Note.</w:t>
      </w:r>
      <w:r>
        <w:rPr>
          <w:sz w:val="20"/>
        </w:rPr>
        <w:t xml:space="preserve"> Unless noted, all specifications include 4-digit occupation controls, expansion factors, and clustered standard errors. Source: authors' elaboration based on CASEN 2022 and 2024.</w:t>
      </w:r>
    </w:p>
    <w:p>
      <w:pPr>
        <w:spacing w:before="240" w:after="20"/>
        <w:jc w:val="left"/>
      </w:pPr>
      <w:r>
        <w:rPr>
          <w:b/>
        </w:rPr>
        <w:t>Table 6</w:t>
      </w:r>
    </w:p>
    <w:p>
      <w:pPr>
        <w:spacing w:after="120"/>
        <w:jc w:val="left"/>
      </w:pPr>
      <w:r>
        <w:rPr>
          <w:i/>
        </w:rPr>
        <w:t>Unexplained Component (Δ0) of the Matching Decomposition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b/>
              </w:rPr>
            </w:r>
            <w:r>
              <w:rPr>
                <w:b/>
                <w:sz w:val="20"/>
              </w:rPr>
              <w:t>Exact matching on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b/>
              </w:rPr>
            </w:r>
            <w:r>
              <w:rPr>
                <w:b/>
                <w:sz w:val="20"/>
              </w:rPr>
              <w:t>Cells in support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b/>
              </w:rPr>
            </w:r>
            <w:r>
              <w:rPr>
                <w:b/>
                <w:sz w:val="20"/>
              </w:rPr>
              <w:t>% of women in support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b/>
              </w:rPr>
            </w:r>
            <w:r>
              <w:rPr>
                <w:b/>
                <w:sz w:val="20"/>
              </w:rPr>
              <w:t>Δ0 (% of female wage)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>
              <w:rPr>
                <w:b/>
              </w:rPr>
            </w:r>
            <w:r>
              <w:rPr>
                <w:b/>
                <w:sz w:val="20"/>
              </w:rPr>
              <w:t>Regression-convention equivalent</w:t>
            </w:r>
          </w:p>
        </w:tc>
      </w:tr>
      <w:tr>
        <w:tc>
          <w:tcPr>
            <w:tcW w:type="dxa" w:w="1881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Year + education + age band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50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100.0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34.4%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-25.6%</w:t>
            </w:r>
          </w:p>
        </w:tc>
      </w:tr>
      <w:tr>
        <w:tc>
          <w:tcPr>
            <w:tcW w:type="dxa" w:w="1881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+ occupation (1 digit)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433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100.0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32.6%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-24.6%</w:t>
            </w:r>
          </w:p>
        </w:tc>
      </w:tr>
      <w:tr>
        <w:tc>
          <w:tcPr>
            <w:tcW w:type="dxa" w:w="1881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+ occupation (4 digits)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5,429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91.2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17.9%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-15.2%</w:t>
            </w:r>
          </w:p>
        </w:tc>
      </w:tr>
      <w:tr>
        <w:tc>
          <w:tcPr>
            <w:tcW w:type="dxa" w:w="1881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+ workweek band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7,664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82.6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13.4%</w:t>
            </w:r>
          </w:p>
        </w:tc>
        <w:tc>
          <w:tcPr>
            <w:tcW w:type="dxa" w:w="1881"/>
          </w:tcPr>
          <w:p>
            <w:pPr>
              <w:spacing w:after="40" w:line="240" w:lineRule="auto"/>
            </w:pPr>
            <w:r/>
            <w:r>
              <w:rPr>
                <w:sz w:val="20"/>
              </w:rPr>
              <w:t>-11.8%</w:t>
            </w:r>
          </w:p>
        </w:tc>
      </w:tr>
    </w:tbl>
    <w:p>
      <w:pPr>
        <w:spacing w:before="80" w:after="240"/>
        <w:jc w:val="left"/>
      </w:pPr>
      <w:r>
        <w:rPr>
          <w:i/>
          <w:sz w:val="20"/>
        </w:rPr>
        <w:t>Note.</w:t>
      </w:r>
      <w:r>
        <w:rPr>
          <w:sz w:val="20"/>
        </w:rPr>
        <w:t xml:space="preserve"> Weighted decomposition; Δ0 compares men and women within the common support, reweighting the male cell distribution to the female one. Bootstrap 95% CI (500 replications) for Δ0 with 4-digit occupation: [15.3, 19.0]. Equivalence computed as −Δ0/(1+Δ0). Source: authors' elaboration based on CASEN 2022 and 2024.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Same occupation, different pay: decomposing the gender wage gap within 4-digit occupations in Chile</dc:title>
  <dc:subject/>
  <dc:creator>Nicolás Guerrero Herrera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