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648"/>
      </w:tblGrid>
      <w:tr>
        <w:tc>
          <w:tcPr>
            <w:tcW w:type="dxa" w:w="9648"/>
            <w:shd w:val="clear" w:color="auto" w:fill="1A4DB3"/>
            <w:tcMar>
              <w:top w:w="300" w:type="dxa"/>
              <w:bottom w:w="300" w:type="dxa"/>
              <w:start w:w="240" w:type="dxa"/>
              <w:end w:w="240" w:type="dxa"/>
            </w:tcMar>
          </w:tcPr>
          <w:p>
            <w:r/>
            <w:r>
              <w:rPr>
                <w:rFonts w:ascii="Calibri" w:hAnsi="Calibri"/>
                <w:b/>
                <w:i w:val="0"/>
                <w:color w:val="FFFFFF"/>
                <w:sz w:val="26"/>
              </w:rPr>
              <w:t>COBALT CORE</w:t>
            </w:r>
          </w:p>
          <w:p>
            <w:r>
              <w:rPr>
                <w:rFonts w:ascii="Calibri" w:hAnsi="Calibri"/>
                <w:b/>
                <w:i w:val="0"/>
                <w:color w:val="FFFFFF"/>
                <w:sz w:val="52"/>
              </w:rPr>
              <w:t>Penetration Tester Tiering</w:t>
            </w:r>
          </w:p>
          <w:p>
            <w:r>
              <w:rPr>
                <w:rFonts w:ascii="Calibri" w:hAnsi="Calibri"/>
                <w:b w:val="0"/>
                <w:i/>
                <w:color w:val="D7E2F6"/>
                <w:sz w:val="26"/>
              </w:rPr>
              <w:t>A Capability-Based Staffing &amp; Compensation Framework for Cobalt Core</w:t>
            </w:r>
          </w:p>
        </w:tc>
      </w:tr>
    </w:tbl>
    <w:p/>
    <w:p>
      <w:pPr>
        <w:spacing w:after="40"/>
      </w:pPr>
      <w:r>
        <w:rPr>
          <w:rFonts w:ascii="Calibri" w:hAnsi="Calibri"/>
          <w:b/>
          <w:i w:val="0"/>
          <w:color w:val="0B1F3A"/>
          <w:sz w:val="21"/>
        </w:rPr>
        <w:t xml:space="preserve">Document:  </w:t>
      </w:r>
      <w:r>
        <w:rPr>
          <w:rFonts w:ascii="Calibri" w:hAnsi="Calibri"/>
          <w:b w:val="0"/>
          <w:i w:val="0"/>
          <w:color w:val="535A66"/>
          <w:sz w:val="21"/>
        </w:rPr>
        <w:t>Penetration Tester Tiering Framework</w:t>
      </w:r>
    </w:p>
    <w:p>
      <w:pPr>
        <w:spacing w:after="40"/>
      </w:pPr>
      <w:r>
        <w:rPr>
          <w:rFonts w:ascii="Calibri" w:hAnsi="Calibri"/>
          <w:b/>
          <w:i w:val="0"/>
          <w:color w:val="0B1F3A"/>
          <w:sz w:val="21"/>
        </w:rPr>
        <w:t xml:space="preserve">Owner:  </w:t>
      </w:r>
      <w:r>
        <w:rPr>
          <w:rFonts w:ascii="Calibri" w:hAnsi="Calibri"/>
          <w:b w:val="0"/>
          <w:i w:val="0"/>
          <w:color w:val="535A66"/>
          <w:sz w:val="21"/>
        </w:rPr>
        <w:t>Governance Team / Security Leadership</w:t>
      </w:r>
    </w:p>
    <w:p>
      <w:pPr>
        <w:spacing w:after="40"/>
      </w:pPr>
      <w:r>
        <w:rPr>
          <w:rFonts w:ascii="Calibri" w:hAnsi="Calibri"/>
          <w:b/>
          <w:i w:val="0"/>
          <w:color w:val="0B1F3A"/>
          <w:sz w:val="21"/>
        </w:rPr>
        <w:t xml:space="preserve">Review cadence:  </w:t>
      </w:r>
      <w:r>
        <w:rPr>
          <w:rFonts w:ascii="Calibri" w:hAnsi="Calibri"/>
          <w:b w:val="0"/>
          <w:i w:val="0"/>
          <w:color w:val="535A66"/>
          <w:sz w:val="21"/>
        </w:rPr>
        <w:t>Bi-Annual recalibration</w:t>
      </w:r>
    </w:p>
    <w:p>
      <w:pPr>
        <w:spacing w:after="40"/>
      </w:pPr>
      <w:r>
        <w:rPr>
          <w:rFonts w:ascii="Calibri" w:hAnsi="Calibri"/>
          <w:b/>
          <w:i w:val="0"/>
          <w:color w:val="0B1F3A"/>
          <w:sz w:val="21"/>
        </w:rPr>
        <w:t xml:space="preserve">Status:  </w:t>
      </w:r>
      <w:r>
        <w:rPr>
          <w:rFonts w:ascii="Calibri" w:hAnsi="Calibri"/>
          <w:b w:val="0"/>
          <w:i w:val="0"/>
          <w:color w:val="535A66"/>
          <w:sz w:val="21"/>
        </w:rPr>
        <w:t>Working draft for Core rollout</w:t>
      </w:r>
    </w:p>
    <w:p>
      <w:r>
        <w:br w:type="page"/>
      </w:r>
    </w:p>
    <w:p>
      <w:pPr>
        <w:spacing w:before="320" w:after="80"/>
        <w:pBdr>
          <w:bottom w:val="single" w:sz="10" w:space="4" w:color="1A4DB3"/>
        </w:pBdr>
      </w:pPr>
      <w:r>
        <w:rPr>
          <w:rFonts w:ascii="Calibri" w:hAnsi="Calibri"/>
          <w:b/>
          <w:i w:val="0"/>
          <w:color w:val="1A4DB3"/>
          <w:sz w:val="32"/>
        </w:rPr>
        <w:t>1. Overview</w:t>
      </w:r>
    </w:p>
    <w:p>
      <w:pPr>
        <w:spacing w:after="120"/>
      </w:pPr>
      <w:r>
        <w:rPr>
          <w:rFonts w:ascii="Calibri" w:hAnsi="Calibri"/>
          <w:b w:val="0"/>
          <w:i w:val="0"/>
          <w:sz w:val="21"/>
        </w:rPr>
        <w:t>Penetration Tester Tiering at Cobalt Core is a structured framework designed to categorize security testing personnel based on their level of technical skill, breadth of specialties, and professional experience. The system uses three primary tiers — Tester (Tier 1), Senior Tester (Tier 2), and Specialist / Expert (Tier 3, the tester “hat”) — to define escalating proficiency in areas such as manual exploitation, complex architectural understanding, and custom tool development.</w:t>
      </w:r>
    </w:p>
    <w:p>
      <w:pPr>
        <w:spacing w:after="120"/>
      </w:pPr>
      <w:r>
        <w:rPr>
          <w:rFonts w:ascii="Calibri" w:hAnsi="Calibri"/>
          <w:b w:val="0"/>
          <w:i w:val="0"/>
          <w:sz w:val="21"/>
        </w:rPr>
        <w:t>It also incorporates specialties — such as Web Security, Cloud Security, and AI/LLM Security — ensuring that a tester's placement is granular and reflects verified expertise in specific domains. Placement is validated through a structured vetting process involving lab environments and technical reporting.</w:t>
      </w:r>
    </w:p>
    <w:tbl>
      <w:tblPr>
        <w:tblW w:type="auto" w:w="0"/>
        <w:jc w:val="center"/>
        <w:tblLook w:firstColumn="1" w:firstRow="1" w:lastColumn="0" w:lastRow="0" w:noHBand="0" w:noVBand="1" w:val="04A0"/>
      </w:tblPr>
      <w:tblGrid>
        <w:gridCol w:w="9648"/>
      </w:tblGrid>
      <w:tr>
        <w:tc>
          <w:tcPr>
            <w:tcW w:type="dxa" w:w="9648"/>
            <w:shd w:val="clear" w:color="auto" w:fill="EAF0FA"/>
            <w:tcMar>
              <w:top w:w="120" w:type="dxa"/>
              <w:bottom w:w="120" w:type="dxa"/>
              <w:start w:w="160" w:type="dxa"/>
              <w:end w:w="160" w:type="dxa"/>
            </w:tcMar>
          </w:tcPr>
          <w:p>
            <w:r/>
            <w:r>
              <w:rPr>
                <w:rFonts w:ascii="Calibri" w:hAnsi="Calibri"/>
                <w:b w:val="0"/>
                <w:i/>
                <w:color w:val="0B1F3A"/>
                <w:sz w:val="21"/>
              </w:rPr>
              <w:t>Core concept: shift the pen tester compensation and engagement model from a traditional contractor relationship to one that actively recognizes and rewards advanced, verified expertise — building a premium brand that attracts top-tier talent.</w:t>
            </w:r>
          </w:p>
        </w:tc>
      </w:tr>
    </w:tbl>
    <w:p>
      <w:pPr>
        <w:spacing w:after="40"/>
      </w:pPr>
    </w:p>
    <w:p>
      <w:pPr>
        <w:spacing w:before="320" w:after="80"/>
        <w:pBdr>
          <w:bottom w:val="single" w:sz="10" w:space="4" w:color="1A4DB3"/>
        </w:pBdr>
      </w:pPr>
      <w:r>
        <w:rPr>
          <w:rFonts w:ascii="Calibri" w:hAnsi="Calibri"/>
          <w:b/>
          <w:i w:val="0"/>
          <w:color w:val="1A4DB3"/>
          <w:sz w:val="32"/>
        </w:rPr>
        <w:t>2. Strategic Rationale for a New Core Model</w:t>
      </w:r>
    </w:p>
    <w:p>
      <w:pPr>
        <w:spacing w:before="200" w:after="60"/>
      </w:pPr>
      <w:r>
        <w:rPr>
          <w:rFonts w:ascii="Calibri" w:hAnsi="Calibri"/>
          <w:b/>
          <w:i w:val="0"/>
          <w:color w:val="0B1F3A"/>
          <w:sz w:val="26"/>
        </w:rPr>
        <w:t>Investment in Non-Employees</w:t>
      </w:r>
    </w:p>
    <w:p>
      <w:pPr>
        <w:spacing w:after="120"/>
      </w:pPr>
      <w:r>
        <w:rPr>
          <w:rFonts w:ascii="Calibri" w:hAnsi="Calibri"/>
          <w:b w:val="0"/>
          <w:i w:val="0"/>
          <w:sz w:val="21"/>
        </w:rPr>
        <w:t>The company is intentionally investing in the development and compensation of its non-FTE testers, acknowledging that paying a higher rate is directly tied to the tester's proven capabilities. This is positioned as a rate for expertise, not a traditional employee wage.</w:t>
      </w:r>
    </w:p>
    <w:p>
      <w:pPr>
        <w:spacing w:before="200" w:after="60"/>
      </w:pPr>
      <w:r>
        <w:rPr>
          <w:rFonts w:ascii="Calibri" w:hAnsi="Calibri"/>
          <w:b/>
          <w:i w:val="0"/>
          <w:color w:val="0B1F3A"/>
          <w:sz w:val="26"/>
        </w:rPr>
        <w:t>Talent Acquisition and Brand Building</w:t>
      </w:r>
    </w:p>
    <w:p>
      <w:pPr>
        <w:spacing w:after="120"/>
      </w:pPr>
      <w:r>
        <w:rPr>
          <w:rFonts w:ascii="Calibri" w:hAnsi="Calibri"/>
          <w:b w:val="0"/>
          <w:i w:val="0"/>
          <w:sz w:val="21"/>
        </w:rPr>
        <w:t>The goal is to establish the company's “Core” testing community as the market leader, creating a self-fulfilling reputation: “like attracts like — once the reputation is set, they will come.” By setting the market rate for high-skilled pen testing, the company aims to naturally draw the best talent, replacing the current sales and credit model that complicates attracting talent with a higher per-hour rate.</w:t>
      </w:r>
    </w:p>
    <w:p>
      <w:pPr>
        <w:spacing w:before="320" w:after="80"/>
        <w:pBdr>
          <w:bottom w:val="single" w:sz="10" w:space="4" w:color="1A4DB3"/>
        </w:pBdr>
      </w:pPr>
      <w:r>
        <w:rPr>
          <w:rFonts w:ascii="Calibri" w:hAnsi="Calibri"/>
          <w:b/>
          <w:i w:val="0"/>
          <w:color w:val="1A4DB3"/>
          <w:sz w:val="32"/>
        </w:rPr>
        <w:t>3. Mechanism for Expertise &amp; Tiering</w:t>
      </w:r>
    </w:p>
    <w:p>
      <w:pPr>
        <w:spacing w:before="200" w:after="60"/>
      </w:pPr>
      <w:r>
        <w:rPr>
          <w:rFonts w:ascii="Calibri" w:hAnsi="Calibri"/>
          <w:b/>
          <w:i w:val="0"/>
          <w:color w:val="0B1F3A"/>
          <w:sz w:val="26"/>
        </w:rPr>
        <w:t>Formal Assessment for Expertise</w:t>
      </w:r>
    </w:p>
    <w:p>
      <w:pPr>
        <w:spacing w:after="120"/>
      </w:pPr>
      <w:r>
        <w:rPr>
          <w:rFonts w:ascii="Calibri" w:hAnsi="Calibri"/>
          <w:b w:val="0"/>
          <w:i w:val="0"/>
          <w:sz w:val="21"/>
        </w:rPr>
        <w:t>To formalize the designation of an “expert” and justify increased compensation, a standardized, skill-based assessment is implemented. Passing this assessment is the pathway to being recognized and compensated at the higher, expert-level tier.</w:t>
      </w:r>
    </w:p>
    <w:p>
      <w:pPr>
        <w:spacing w:before="200" w:after="60"/>
      </w:pPr>
      <w:r>
        <w:rPr>
          <w:rFonts w:ascii="Calibri" w:hAnsi="Calibri"/>
          <w:b/>
          <w:i w:val="0"/>
          <w:color w:val="0B1F3A"/>
          <w:sz w:val="26"/>
        </w:rPr>
        <w:t>Compensation &amp; Skill Tiers</w:t>
      </w:r>
    </w:p>
    <w:p>
      <w:pPr>
        <w:spacing w:after="120"/>
      </w:pPr>
      <w:r>
        <w:rPr>
          <w:rFonts w:ascii="Calibri" w:hAnsi="Calibri"/>
          <w:b w:val="0"/>
          <w:i w:val="0"/>
          <w:sz w:val="21"/>
        </w:rPr>
        <w:t>The system is tied to a new tiered pay structure (e.g., standard pay rising to $75/hour, with subsequent tiers earning $15–$20 hourly deltas). Tiered compensation aligns with the complexity of the work and the tester's proven skill level (e.g., compliance, senior, and boutique/enterprise), moving away from paying for work primarily done by automated scanners.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color="auto" w:fill="0B1F3A"/>
            <w:tcMar>
              <w:top w:w="60" w:type="dxa"/>
              <w:bottom w:w="60" w:type="dxa"/>
              <w:start w:w="100" w:type="dxa"/>
              <w:end w:w="100" w:type="dxa"/>
            </w:tcMar>
          </w:tcPr>
          <w:p>
            <w:r/>
            <w:r>
              <w:rPr>
                <w:rFonts w:ascii="Calibri" w:hAnsi="Calibri"/>
                <w:b/>
                <w:i w:val="0"/>
                <w:color w:val="FFFFFF"/>
                <w:sz w:val="19"/>
              </w:rPr>
              <w:t>Tier</w:t>
            </w:r>
          </w:p>
        </w:tc>
        <w:tc>
          <w:tcPr>
            <w:tcW w:type="dxa" w:w="2592"/>
            <w:shd w:val="clear" w:color="auto" w:fill="0B1F3A"/>
            <w:tcMar>
              <w:top w:w="60" w:type="dxa"/>
              <w:bottom w:w="60" w:type="dxa"/>
              <w:start w:w="100" w:type="dxa"/>
              <w:end w:w="100" w:type="dxa"/>
            </w:tcMar>
          </w:tcPr>
          <w:p>
            <w:r/>
            <w:r>
              <w:rPr>
                <w:rFonts w:ascii="Calibri" w:hAnsi="Calibri"/>
                <w:b/>
                <w:i w:val="0"/>
                <w:color w:val="FFFFFF"/>
                <w:sz w:val="19"/>
              </w:rPr>
              <w:t>Designation</w:t>
            </w:r>
          </w:p>
        </w:tc>
        <w:tc>
          <w:tcPr>
            <w:tcW w:type="dxa" w:w="2880"/>
            <w:shd w:val="clear" w:color="auto" w:fill="0B1F3A"/>
            <w:tcMar>
              <w:top w:w="60" w:type="dxa"/>
              <w:bottom w:w="60" w:type="dxa"/>
              <w:start w:w="100" w:type="dxa"/>
              <w:end w:w="100" w:type="dxa"/>
            </w:tcMar>
          </w:tcPr>
          <w:p>
            <w:r/>
            <w:r>
              <w:rPr>
                <w:rFonts w:ascii="Calibri" w:hAnsi="Calibri"/>
                <w:b/>
                <w:i w:val="0"/>
                <w:color w:val="FFFFFF"/>
                <w:sz w:val="19"/>
              </w:rPr>
              <w:t>Indicative Rate</w:t>
            </w:r>
          </w:p>
        </w:tc>
        <w:tc>
          <w:tcPr>
            <w:tcW w:type="dxa" w:w="4320"/>
            <w:shd w:val="clear" w:color="auto" w:fill="0B1F3A"/>
            <w:tcMar>
              <w:top w:w="60" w:type="dxa"/>
              <w:bottom w:w="60" w:type="dxa"/>
              <w:start w:w="100" w:type="dxa"/>
              <w:end w:w="100" w:type="dxa"/>
            </w:tcMar>
          </w:tcPr>
          <w:p>
            <w:r/>
            <w:r>
              <w:rPr>
                <w:rFonts w:ascii="Calibri" w:hAnsi="Calibri"/>
                <w:b/>
                <w:i w:val="0"/>
                <w:color w:val="FFFFFF"/>
                <w:sz w:val="19"/>
              </w:rPr>
              <w:t>Work Profile</w:t>
            </w:r>
          </w:p>
        </w:tc>
      </w:tr>
      <w:tr>
        <w:tc>
          <w:tcPr>
            <w:tcW w:type="dxa" w:w="1296"/>
            <w:tcMar>
              <w:top w:w="60" w:type="dxa"/>
              <w:bottom w:w="60" w:type="dxa"/>
              <w:start w:w="100" w:type="dxa"/>
              <w:end w:w="100" w:type="dxa"/>
            </w:tcMar>
            <w:shd w:val="clear" w:color="auto" w:fill="F4F7FC"/>
          </w:tcPr>
          <w:p>
            <w:pPr>
              <w:spacing w:after="0"/>
            </w:pPr>
            <w:r/>
            <w:r>
              <w:rPr>
                <w:rFonts w:ascii="Calibri" w:hAnsi="Calibri"/>
                <w:b/>
                <w:i w:val="0"/>
                <w:sz w:val="19"/>
              </w:rPr>
              <w:t>Tier 1</w:t>
            </w:r>
          </w:p>
        </w:tc>
        <w:tc>
          <w:tcPr>
            <w:tcW w:type="dxa" w:w="2592"/>
            <w:tcMar>
              <w:top w:w="60" w:type="dxa"/>
              <w:bottom w:w="60" w:type="dxa"/>
              <w:start w:w="100" w:type="dxa"/>
              <w:end w:w="100" w:type="dxa"/>
            </w:tcMar>
            <w:shd w:val="clear" w:color="auto" w:fill="F4F7FC"/>
          </w:tcPr>
          <w:p>
            <w:pPr>
              <w:spacing w:after="0"/>
            </w:pPr>
            <w:r/>
            <w:r>
              <w:rPr>
                <w:rFonts w:ascii="Calibri" w:hAnsi="Calibri"/>
                <w:b w:val="0"/>
                <w:i w:val="0"/>
                <w:sz w:val="19"/>
              </w:rPr>
              <w:t>Tester</w:t>
            </w:r>
          </w:p>
        </w:tc>
        <w:tc>
          <w:tcPr>
            <w:tcW w:type="dxa" w:w="2880"/>
            <w:tcMar>
              <w:top w:w="60" w:type="dxa"/>
              <w:bottom w:w="60" w:type="dxa"/>
              <w:start w:w="100" w:type="dxa"/>
              <w:end w:w="100" w:type="dxa"/>
            </w:tcMar>
            <w:shd w:val="clear" w:color="auto" w:fill="F4F7FC"/>
          </w:tcPr>
          <w:p>
            <w:pPr>
              <w:spacing w:after="0"/>
            </w:pPr>
            <w:r/>
            <w:r>
              <w:rPr>
                <w:rFonts w:ascii="Calibri" w:hAnsi="Calibri"/>
                <w:b w:val="0"/>
                <w:i w:val="0"/>
                <w:sz w:val="19"/>
              </w:rPr>
              <w:t>$75 / hour (baseline)</w:t>
            </w:r>
          </w:p>
        </w:tc>
        <w:tc>
          <w:tcPr>
            <w:tcW w:type="dxa" w:w="4320"/>
            <w:tcMar>
              <w:top w:w="60" w:type="dxa"/>
              <w:bottom w:w="60" w:type="dxa"/>
              <w:start w:w="100" w:type="dxa"/>
              <w:end w:w="100" w:type="dxa"/>
            </w:tcMar>
            <w:shd w:val="clear" w:color="auto" w:fill="F4F7FC"/>
          </w:tcPr>
          <w:p>
            <w:pPr>
              <w:spacing w:after="0"/>
            </w:pPr>
            <w:r/>
            <w:r>
              <w:rPr>
                <w:rFonts w:ascii="Calibri" w:hAnsi="Calibri"/>
                <w:b w:val="0"/>
                <w:i w:val="0"/>
                <w:sz w:val="19"/>
              </w:rPr>
              <w:t>Compliance-grade and standard assessments</w:t>
            </w:r>
          </w:p>
        </w:tc>
      </w:tr>
      <w:tr>
        <w:tc>
          <w:tcPr>
            <w:tcW w:type="dxa" w:w="1296"/>
            <w:tcMar>
              <w:top w:w="60" w:type="dxa"/>
              <w:bottom w:w="60" w:type="dxa"/>
              <w:start w:w="100" w:type="dxa"/>
              <w:end w:w="100" w:type="dxa"/>
            </w:tcMar>
          </w:tcPr>
          <w:p>
            <w:pPr>
              <w:spacing w:after="0"/>
            </w:pPr>
            <w:r/>
            <w:r>
              <w:rPr>
                <w:rFonts w:ascii="Calibri" w:hAnsi="Calibri"/>
                <w:b/>
                <w:i w:val="0"/>
                <w:sz w:val="19"/>
              </w:rPr>
              <w:t>Tier 2</w:t>
            </w:r>
          </w:p>
        </w:tc>
        <w:tc>
          <w:tcPr>
            <w:tcW w:type="dxa" w:w="2592"/>
            <w:tcMar>
              <w:top w:w="60" w:type="dxa"/>
              <w:bottom w:w="60" w:type="dxa"/>
              <w:start w:w="100" w:type="dxa"/>
              <w:end w:w="100" w:type="dxa"/>
            </w:tcMar>
          </w:tcPr>
          <w:p>
            <w:pPr>
              <w:spacing w:after="0"/>
            </w:pPr>
            <w:r/>
            <w:r>
              <w:rPr>
                <w:rFonts w:ascii="Calibri" w:hAnsi="Calibri"/>
                <w:b w:val="0"/>
                <w:i w:val="0"/>
                <w:sz w:val="19"/>
              </w:rPr>
              <w:t>Senior Tester</w:t>
            </w:r>
          </w:p>
        </w:tc>
        <w:tc>
          <w:tcPr>
            <w:tcW w:type="dxa" w:w="2880"/>
            <w:tcMar>
              <w:top w:w="60" w:type="dxa"/>
              <w:bottom w:w="60" w:type="dxa"/>
              <w:start w:w="100" w:type="dxa"/>
              <w:end w:w="100" w:type="dxa"/>
            </w:tcMar>
          </w:tcPr>
          <w:p>
            <w:pPr>
              <w:spacing w:after="0"/>
            </w:pPr>
            <w:r/>
            <w:r>
              <w:rPr>
                <w:rFonts w:ascii="Calibri" w:hAnsi="Calibri"/>
                <w:b w:val="0"/>
                <w:i w:val="0"/>
                <w:sz w:val="19"/>
              </w:rPr>
              <w:t>+$15–$20 / hour delta</w:t>
            </w:r>
          </w:p>
        </w:tc>
        <w:tc>
          <w:tcPr>
            <w:tcW w:type="dxa" w:w="4320"/>
            <w:tcMar>
              <w:top w:w="60" w:type="dxa"/>
              <w:bottom w:w="60" w:type="dxa"/>
              <w:start w:w="100" w:type="dxa"/>
              <w:end w:w="100" w:type="dxa"/>
            </w:tcMar>
          </w:tcPr>
          <w:p>
            <w:pPr>
              <w:spacing w:after="0"/>
            </w:pPr>
            <w:r/>
            <w:r>
              <w:rPr>
                <w:rFonts w:ascii="Calibri" w:hAnsi="Calibri"/>
                <w:b w:val="0"/>
                <w:i w:val="0"/>
                <w:sz w:val="19"/>
              </w:rPr>
              <w:t>Senior, complex manual testing &amp; chaining</w:t>
            </w:r>
          </w:p>
        </w:tc>
      </w:tr>
      <w:tr>
        <w:tc>
          <w:tcPr>
            <w:tcW w:type="dxa" w:w="1296"/>
            <w:tcMar>
              <w:top w:w="60" w:type="dxa"/>
              <w:bottom w:w="60" w:type="dxa"/>
              <w:start w:w="100" w:type="dxa"/>
              <w:end w:w="100" w:type="dxa"/>
            </w:tcMar>
            <w:shd w:val="clear" w:color="auto" w:fill="F4F7FC"/>
          </w:tcPr>
          <w:p>
            <w:pPr>
              <w:spacing w:after="0"/>
            </w:pPr>
            <w:r/>
            <w:r>
              <w:rPr>
                <w:rFonts w:ascii="Calibri" w:hAnsi="Calibri"/>
                <w:b/>
                <w:i w:val="0"/>
                <w:sz w:val="19"/>
              </w:rPr>
              <w:t>Tier 3</w:t>
            </w:r>
          </w:p>
        </w:tc>
        <w:tc>
          <w:tcPr>
            <w:tcW w:type="dxa" w:w="2592"/>
            <w:tcMar>
              <w:top w:w="60" w:type="dxa"/>
              <w:bottom w:w="60" w:type="dxa"/>
              <w:start w:w="100" w:type="dxa"/>
              <w:end w:w="100" w:type="dxa"/>
            </w:tcMar>
            <w:shd w:val="clear" w:color="auto" w:fill="F4F7FC"/>
          </w:tcPr>
          <w:p>
            <w:pPr>
              <w:spacing w:after="0"/>
            </w:pPr>
            <w:r/>
            <w:r>
              <w:rPr>
                <w:rFonts w:ascii="Calibri" w:hAnsi="Calibri"/>
                <w:b w:val="0"/>
                <w:i w:val="0"/>
                <w:sz w:val="19"/>
              </w:rPr>
              <w:t>Specialist / Expert</w:t>
            </w:r>
          </w:p>
        </w:tc>
        <w:tc>
          <w:tcPr>
            <w:tcW w:type="dxa" w:w="2880"/>
            <w:tcMar>
              <w:top w:w="60" w:type="dxa"/>
              <w:bottom w:w="60" w:type="dxa"/>
              <w:start w:w="100" w:type="dxa"/>
              <w:end w:w="100" w:type="dxa"/>
            </w:tcMar>
            <w:shd w:val="clear" w:color="auto" w:fill="F4F7FC"/>
          </w:tcPr>
          <w:p>
            <w:pPr>
              <w:spacing w:after="0"/>
            </w:pPr>
            <w:r/>
            <w:r>
              <w:rPr>
                <w:rFonts w:ascii="Calibri" w:hAnsi="Calibri"/>
                <w:b w:val="0"/>
                <w:i w:val="0"/>
                <w:sz w:val="19"/>
              </w:rPr>
              <w:t>+$15–$20 / hour delta (per tier)</w:t>
            </w:r>
          </w:p>
        </w:tc>
        <w:tc>
          <w:tcPr>
            <w:tcW w:type="dxa" w:w="4320"/>
            <w:tcMar>
              <w:top w:w="60" w:type="dxa"/>
              <w:bottom w:w="60" w:type="dxa"/>
              <w:start w:w="100" w:type="dxa"/>
              <w:end w:w="100" w:type="dxa"/>
            </w:tcMar>
            <w:shd w:val="clear" w:color="auto" w:fill="F4F7FC"/>
          </w:tcPr>
          <w:p>
            <w:pPr>
              <w:spacing w:after="0"/>
            </w:pPr>
            <w:r/>
            <w:r>
              <w:rPr>
                <w:rFonts w:ascii="Calibri" w:hAnsi="Calibri"/>
                <w:b w:val="0"/>
                <w:i w:val="0"/>
                <w:sz w:val="19"/>
              </w:rPr>
              <w:t>Boutique / enterprise, specialty-led engagements</w:t>
            </w:r>
          </w:p>
        </w:tc>
      </w:tr>
    </w:tbl>
    <w:p>
      <w:pPr>
        <w:spacing w:after="40"/>
      </w:pPr>
    </w:p>
    <w:p>
      <w:pPr>
        <w:spacing w:after="120"/>
      </w:pPr>
      <w:r>
        <w:rPr>
          <w:rFonts w:ascii="Calibri" w:hAnsi="Calibri"/>
          <w:b w:val="0"/>
          <w:i/>
          <w:color w:val="535A66"/>
          <w:sz w:val="18"/>
        </w:rPr>
        <w:t>Indicative figures are estimates for forecasting; placement is always confirmed through vetting.</w:t>
      </w:r>
    </w:p>
    <w:p>
      <w:pPr>
        <w:spacing w:before="200" w:after="60"/>
      </w:pPr>
      <w:r>
        <w:rPr>
          <w:rFonts w:ascii="Calibri" w:hAnsi="Calibri"/>
          <w:b/>
          <w:i w:val="0"/>
          <w:color w:val="0B1F3A"/>
          <w:sz w:val="26"/>
        </w:rPr>
        <w:t>Tier Maintenance</w:t>
      </w:r>
    </w:p>
    <w:p>
      <w:pPr>
        <w:pStyle w:val="ListBullet"/>
        <w:spacing w:after="40"/>
      </w:pPr>
      <w:r>
        <w:rPr>
          <w:rFonts w:ascii="Calibri" w:hAnsi="Calibri"/>
          <w:b/>
          <w:i w:val="0"/>
          <w:sz w:val="21"/>
        </w:rPr>
        <w:t xml:space="preserve">Senior (Tier 2): </w:t>
      </w:r>
      <w:r>
        <w:rPr>
          <w:rFonts w:ascii="Calibri" w:hAnsi="Calibri"/>
          <w:b w:val="0"/>
          <w:i w:val="0"/>
          <w:sz w:val="21"/>
        </w:rPr>
        <w:t>Tier 2 testers must perform X tests meeting Tier 2 requirements within a year to maintain Tier 2 status.</w:t>
      </w:r>
    </w:p>
    <w:p>
      <w:pPr>
        <w:pStyle w:val="ListBullet"/>
        <w:spacing w:after="40"/>
      </w:pPr>
      <w:r>
        <w:rPr>
          <w:rFonts w:ascii="Calibri" w:hAnsi="Calibri"/>
          <w:b/>
          <w:i w:val="0"/>
          <w:sz w:val="21"/>
        </w:rPr>
        <w:t xml:space="preserve">Specialist (Tier 3): </w:t>
      </w:r>
      <w:r>
        <w:rPr>
          <w:rFonts w:ascii="Calibri" w:hAnsi="Calibri"/>
          <w:b w:val="0"/>
          <w:i w:val="0"/>
          <w:sz w:val="21"/>
        </w:rPr>
        <w:t>Specialized / Tier 3 testers must perform X tests within their specialty to maintain specialist status.</w:t>
      </w:r>
    </w:p>
    <w:p>
      <w:pPr>
        <w:spacing w:after="120"/>
      </w:pPr>
      <w:r>
        <w:rPr>
          <w:rFonts w:ascii="Calibri" w:hAnsi="Calibri"/>
          <w:b w:val="0"/>
          <w:i w:val="0"/>
          <w:sz w:val="21"/>
        </w:rPr>
        <w:t>If a tester does not perform the required number of tests, or their tier status otherwise lapses, they must go through the vetting process again to regain the status.</w:t>
      </w:r>
    </w:p>
    <w:p>
      <w:pPr>
        <w:spacing w:before="200" w:after="60"/>
      </w:pPr>
      <w:r>
        <w:rPr>
          <w:rFonts w:ascii="Calibri" w:hAnsi="Calibri"/>
          <w:b/>
          <w:i w:val="0"/>
          <w:color w:val="0B1F3A"/>
          <w:sz w:val="26"/>
        </w:rPr>
        <w:t>Re-Vetting Conditions</w:t>
      </w:r>
    </w:p>
    <w:p>
      <w:pPr>
        <w:spacing w:after="120"/>
      </w:pPr>
      <w:r>
        <w:rPr>
          <w:rFonts w:ascii="Calibri" w:hAnsi="Calibri"/>
          <w:b w:val="0"/>
          <w:i w:val="0"/>
          <w:sz w:val="21"/>
        </w:rPr>
        <w:t>Testers must go through the skill-validation process again if any of the following occur:</w:t>
      </w:r>
    </w:p>
    <w:p>
      <w:pPr>
        <w:pStyle w:val="ListBullet"/>
        <w:spacing w:after="40"/>
      </w:pPr>
      <w:r>
        <w:rPr>
          <w:rFonts w:ascii="Calibri" w:hAnsi="Calibri"/>
          <w:b w:val="0"/>
          <w:i w:val="0"/>
          <w:sz w:val="21"/>
        </w:rPr>
        <w:t>Their Tier 2 or Tier 3 status is allowed to lapse (maintenance threshold not met).</w:t>
      </w:r>
    </w:p>
    <w:p>
      <w:pPr>
        <w:pStyle w:val="ListBullet"/>
        <w:spacing w:after="40"/>
      </w:pPr>
      <w:r>
        <w:rPr>
          <w:rFonts w:ascii="Calibri" w:hAnsi="Calibri"/>
          <w:b w:val="0"/>
          <w:i w:val="0"/>
          <w:sz w:val="21"/>
        </w:rPr>
        <w:t>A specialty classification is allowed to lapse.</w:t>
      </w:r>
    </w:p>
    <w:p>
      <w:pPr>
        <w:pStyle w:val="ListBullet"/>
        <w:spacing w:after="40"/>
      </w:pPr>
      <w:r>
        <w:rPr>
          <w:rFonts w:ascii="Calibri" w:hAnsi="Calibri"/>
          <w:b w:val="0"/>
          <w:i w:val="0"/>
          <w:sz w:val="21"/>
        </w:rPr>
        <w:t>The governance team re-scopes a specialty's requirements during recalibration.</w:t>
      </w:r>
    </w:p>
    <w:p>
      <w:r>
        <w:br w:type="page"/>
      </w:r>
    </w:p>
    <w:p>
      <w:pPr>
        <w:spacing w:before="320" w:after="80"/>
        <w:pBdr>
          <w:bottom w:val="single" w:sz="10" w:space="4" w:color="1A4DB3"/>
        </w:pBdr>
      </w:pPr>
      <w:r>
        <w:rPr>
          <w:rFonts w:ascii="Calibri" w:hAnsi="Calibri"/>
          <w:b/>
          <w:i w:val="0"/>
          <w:color w:val="1A4DB3"/>
          <w:sz w:val="32"/>
        </w:rPr>
        <w:t>4. General Tier Competencies</w:t>
      </w:r>
    </w:p>
    <w:p>
      <w:pPr>
        <w:spacing w:after="120"/>
      </w:pPr>
      <w:r>
        <w:rPr>
          <w:rFonts w:ascii="Calibri" w:hAnsi="Calibri"/>
          <w:b w:val="0"/>
          <w:i w:val="0"/>
          <w:sz w:val="21"/>
        </w:rPr>
        <w:t>The following competency bands apply across all specialties and methodologies.</w:t>
      </w:r>
    </w:p>
    <w:p>
      <w:pPr>
        <w:spacing w:before="200" w:after="60"/>
      </w:pPr>
      <w:r>
        <w:rPr>
          <w:rFonts w:ascii="Calibri" w:hAnsi="Calibri"/>
          <w:b/>
          <w:i w:val="0"/>
          <w:color w:val="0B1F3A"/>
          <w:sz w:val="26"/>
        </w:rPr>
        <w:t>Tester (Tier 1)</w:t>
      </w:r>
    </w:p>
    <w:p>
      <w:pPr>
        <w:pStyle w:val="ListBullet"/>
        <w:spacing w:after="40"/>
      </w:pPr>
      <w:r>
        <w:rPr>
          <w:rFonts w:ascii="Calibri" w:hAnsi="Calibri"/>
          <w:b/>
          <w:i w:val="0"/>
          <w:sz w:val="21"/>
        </w:rPr>
        <w:t xml:space="preserve">Foundational technical &amp; tool proficiency: </w:t>
      </w:r>
      <w:r>
        <w:rPr>
          <w:rFonts w:ascii="Calibri" w:hAnsi="Calibri"/>
          <w:b w:val="0"/>
          <w:i w:val="0"/>
          <w:sz w:val="21"/>
        </w:rPr>
        <w:t>Proficient using automated industry-standard tools (scanners, CSPM, SAST) for initial security-posture analysis and identifying common misconfigurations across environments (cloud, web, mobile, code).</w:t>
      </w:r>
    </w:p>
    <w:p>
      <w:pPr>
        <w:pStyle w:val="ListBullet"/>
        <w:spacing w:after="40"/>
      </w:pPr>
      <w:r>
        <w:rPr>
          <w:rFonts w:ascii="Calibri" w:hAnsi="Calibri"/>
          <w:b/>
          <w:i w:val="0"/>
          <w:sz w:val="21"/>
        </w:rPr>
        <w:t xml:space="preserve">Basic manual exploitation &amp; analysis: </w:t>
      </w:r>
      <w:r>
        <w:rPr>
          <w:rFonts w:ascii="Calibri" w:hAnsi="Calibri"/>
          <w:b w:val="0"/>
          <w:i w:val="0"/>
          <w:sz w:val="21"/>
        </w:rPr>
        <w:t>Can manually identify, verify, and exploit basic, high-impact vulnerabilities (e.g., basic SQLi, IDORs, XSS, foundational network/Active Directory attacks) and understands the underlying protocols and security principles for their specialty.</w:t>
      </w:r>
    </w:p>
    <w:p>
      <w:pPr>
        <w:pStyle w:val="ListBullet"/>
        <w:spacing w:after="40"/>
      </w:pPr>
      <w:r>
        <w:rPr>
          <w:rFonts w:ascii="Calibri" w:hAnsi="Calibri"/>
          <w:b/>
          <w:i w:val="0"/>
          <w:sz w:val="21"/>
        </w:rPr>
        <w:t xml:space="preserve">Reporting &amp; compliance awareness: </w:t>
      </w:r>
      <w:r>
        <w:rPr>
          <w:rFonts w:ascii="Calibri" w:hAnsi="Calibri"/>
          <w:b w:val="0"/>
          <w:i w:val="0"/>
          <w:sz w:val="21"/>
        </w:rPr>
        <w:t>Basic understanding of key benchmarks (OWASP Top 10, CIS/NIST) and can generate clear technical reports with actionable remediation advice.</w:t>
      </w:r>
    </w:p>
    <w:p>
      <w:pPr>
        <w:spacing w:before="200" w:after="60"/>
      </w:pPr>
      <w:r>
        <w:rPr>
          <w:rFonts w:ascii="Calibri" w:hAnsi="Calibri"/>
          <w:b/>
          <w:i w:val="0"/>
          <w:color w:val="0B1F3A"/>
          <w:sz w:val="26"/>
        </w:rPr>
        <w:t>Senior Tester (Tier 2)</w:t>
      </w:r>
    </w:p>
    <w:p>
      <w:pPr>
        <w:pStyle w:val="ListBullet"/>
        <w:spacing w:after="40"/>
      </w:pPr>
      <w:r>
        <w:rPr>
          <w:rFonts w:ascii="Calibri" w:hAnsi="Calibri"/>
          <w:b/>
          <w:i w:val="0"/>
          <w:sz w:val="21"/>
        </w:rPr>
        <w:t xml:space="preserve">Advanced manual exploitation &amp; logic-flaw discovery: </w:t>
      </w:r>
      <w:r>
        <w:rPr>
          <w:rFonts w:ascii="Calibri" w:hAnsi="Calibri"/>
          <w:b w:val="0"/>
          <w:i w:val="0"/>
          <w:sz w:val="21"/>
        </w:rPr>
        <w:t>Deep manual testing to bypass modern defenses (WAFs, EDR/AV, SSL pinning) and exploit complex, non-obvious vulnerabilities — business-logic flaws, chaining multiple bugs to increase impact, complex data injection, and advanced specialized protocols (e.g., GraphQL, gRPC).</w:t>
      </w:r>
    </w:p>
    <w:p>
      <w:pPr>
        <w:pStyle w:val="ListBullet"/>
        <w:spacing w:after="40"/>
      </w:pPr>
      <w:r>
        <w:rPr>
          <w:rFonts w:ascii="Calibri" w:hAnsi="Calibri"/>
          <w:b/>
          <w:i w:val="0"/>
          <w:sz w:val="21"/>
        </w:rPr>
        <w:t xml:space="preserve">Complex system &amp; code review: </w:t>
      </w:r>
      <w:r>
        <w:rPr>
          <w:rFonts w:ascii="Calibri" w:hAnsi="Calibri"/>
          <w:b w:val="0"/>
          <w:i w:val="0"/>
          <w:sz w:val="21"/>
        </w:rPr>
        <w:t>Thorough manual review of critical architectural components automated tools miss — auditing complex IAM policies for privilege escalation, reviewing Infrastructure-as-Code, manual “trace-to-source” code analysis, and third-party library security (SCA).</w:t>
      </w:r>
    </w:p>
    <w:p>
      <w:pPr>
        <w:pStyle w:val="ListBullet"/>
        <w:spacing w:after="40"/>
      </w:pPr>
      <w:r>
        <w:rPr>
          <w:rFonts w:ascii="Calibri" w:hAnsi="Calibri"/>
          <w:b/>
          <w:i w:val="0"/>
          <w:sz w:val="21"/>
        </w:rPr>
        <w:t xml:space="preserve">Environment &amp; architectural deep-dive: </w:t>
      </w:r>
      <w:r>
        <w:rPr>
          <w:rFonts w:ascii="Calibri" w:hAnsi="Calibri"/>
          <w:b w:val="0"/>
          <w:i w:val="0"/>
          <w:sz w:val="21"/>
        </w:rPr>
        <w:t>Exploiting environment-specific vulnerabilities for greater impact — lateral movement in a cloud VPC, escaping basic container environments, advanced AD analysis (GPO abuse), and manipulating complex workflows (RAG, Tool-Use) in emerging technologies like AI/LLMs.</w:t>
      </w:r>
    </w:p>
    <w:p>
      <w:pPr>
        <w:spacing w:before="200" w:after="60"/>
      </w:pPr>
      <w:r>
        <w:rPr>
          <w:rFonts w:ascii="Calibri" w:hAnsi="Calibri"/>
          <w:b/>
          <w:i w:val="0"/>
          <w:color w:val="0B1F3A"/>
          <w:sz w:val="26"/>
        </w:rPr>
        <w:t>Specialist / Expert (Tier 3)</w:t>
      </w:r>
    </w:p>
    <w:p>
      <w:pPr>
        <w:pStyle w:val="ListBullet"/>
        <w:spacing w:after="40"/>
      </w:pPr>
      <w:r>
        <w:rPr>
          <w:rFonts w:ascii="Calibri" w:hAnsi="Calibri"/>
          <w:b/>
          <w:i w:val="0"/>
          <w:sz w:val="21"/>
        </w:rPr>
        <w:t xml:space="preserve">Deep technical mastery &amp; custom research: </w:t>
      </w:r>
      <w:r>
        <w:rPr>
          <w:rFonts w:ascii="Calibri" w:hAnsi="Calibri"/>
          <w:b w:val="0"/>
          <w:i w:val="0"/>
          <w:sz w:val="21"/>
        </w:rPr>
        <w:t>Expert / architect-level knowledge across the full attack surface — reverse engineering proprietary protocols or obfuscated binaries, complex low-level analysis (model weights, ARM assembly), and actively developing custom tools, extensions, or methodologies to discover and exploit novel vulnerabilities (including zero-days).</w:t>
      </w:r>
    </w:p>
    <w:p>
      <w:pPr>
        <w:pStyle w:val="ListBullet"/>
        <w:spacing w:after="40"/>
      </w:pPr>
      <w:r>
        <w:rPr>
          <w:rFonts w:ascii="Calibri" w:hAnsi="Calibri"/>
          <w:b/>
          <w:i w:val="0"/>
          <w:sz w:val="21"/>
        </w:rPr>
        <w:t xml:space="preserve">Architectural &amp; strategic security leadership: </w:t>
      </w:r>
      <w:r>
        <w:rPr>
          <w:rFonts w:ascii="Calibri" w:hAnsi="Calibri"/>
          <w:b w:val="0"/>
          <w:i w:val="0"/>
          <w:sz w:val="21"/>
        </w:rPr>
        <w:t>Comprehensive architectural understanding of entire systems (multi-cloud, microservices, cloud identity boundaries) — designing organizational “guardrails,” establishing secure-by-default architectures, defining the team's methodology, and acting as final reviewer for complex remediation and technical advisory.</w:t>
      </w:r>
    </w:p>
    <w:p>
      <w:pPr>
        <w:pStyle w:val="ListBullet"/>
        <w:spacing w:after="40"/>
      </w:pPr>
      <w:r>
        <w:rPr>
          <w:rFonts w:ascii="Calibri" w:hAnsi="Calibri"/>
          <w:b/>
          <w:i w:val="0"/>
          <w:sz w:val="21"/>
        </w:rPr>
        <w:t xml:space="preserve">Complex engagement management: </w:t>
      </w:r>
      <w:r>
        <w:rPr>
          <w:rFonts w:ascii="Calibri" w:hAnsi="Calibri"/>
          <w:b w:val="0"/>
          <w:i w:val="0"/>
          <w:sz w:val="21"/>
        </w:rPr>
        <w:t>For leadership-focused roles: breaking down the technical scope of an engagement, organizing and distributing workload, providing technical direction for complex tasks, and delivering comprehensive reports with advanced technical reasoning.</w:t>
      </w:r>
    </w:p>
    <w:p>
      <w:r>
        <w:br w:type="page"/>
      </w:r>
    </w:p>
    <w:p>
      <w:pPr>
        <w:spacing w:before="320" w:after="80"/>
        <w:pBdr>
          <w:bottom w:val="single" w:sz="10" w:space="4" w:color="1A4DB3"/>
        </w:pBdr>
      </w:pPr>
      <w:r>
        <w:rPr>
          <w:rFonts w:ascii="Calibri" w:hAnsi="Calibri"/>
          <w:b/>
          <w:i w:val="0"/>
          <w:color w:val="1A4DB3"/>
          <w:sz w:val="32"/>
        </w:rPr>
        <w:t>5. Specialties &amp; Methodologies</w:t>
      </w:r>
    </w:p>
    <w:p>
      <w:pPr>
        <w:spacing w:after="120"/>
      </w:pPr>
      <w:r>
        <w:rPr>
          <w:rFonts w:ascii="Calibri" w:hAnsi="Calibri"/>
          <w:b w:val="0"/>
          <w:i w:val="0"/>
          <w:sz w:val="21"/>
        </w:rPr>
        <w:t>Tiering is applied per specialty. A tester may hold different tiers across different specialties.</w:t>
      </w:r>
    </w:p>
    <w:tbl>
      <w:tblPr>
        <w:tblStyle w:val="TableGrid"/>
        <w:tblW w:type="auto" w:w="0"/>
        <w:jc w:val="center"/>
        <w:tblLook w:firstColumn="1" w:firstRow="1" w:lastColumn="0" w:lastRow="0" w:noHBand="0" w:noVBand="1" w:val="04A0"/>
      </w:tblPr>
      <w:tblGrid>
        <w:gridCol w:w="3216"/>
        <w:gridCol w:w="3216"/>
        <w:gridCol w:w="3216"/>
      </w:tblGrid>
      <w:tr>
        <w:tc>
          <w:tcPr>
            <w:tcW w:type="dxa" w:w="576"/>
            <w:shd w:val="clear" w:color="auto" w:fill="0B1F3A"/>
            <w:tcMar>
              <w:top w:w="60" w:type="dxa"/>
              <w:bottom w:w="60" w:type="dxa"/>
              <w:start w:w="100" w:type="dxa"/>
              <w:end w:w="100" w:type="dxa"/>
            </w:tcMar>
          </w:tcPr>
          <w:p>
            <w:r/>
            <w:r>
              <w:rPr>
                <w:rFonts w:ascii="Calibri" w:hAnsi="Calibri"/>
                <w:b/>
                <w:i w:val="0"/>
                <w:color w:val="FFFFFF"/>
                <w:sz w:val="19"/>
              </w:rPr>
              <w:t>#</w:t>
            </w:r>
          </w:p>
        </w:tc>
        <w:tc>
          <w:tcPr>
            <w:tcW w:type="dxa" w:w="3744"/>
            <w:shd w:val="clear" w:color="auto" w:fill="0B1F3A"/>
            <w:tcMar>
              <w:top w:w="60" w:type="dxa"/>
              <w:bottom w:w="60" w:type="dxa"/>
              <w:start w:w="100" w:type="dxa"/>
              <w:end w:w="100" w:type="dxa"/>
            </w:tcMar>
          </w:tcPr>
          <w:p>
            <w:r/>
            <w:r>
              <w:rPr>
                <w:rFonts w:ascii="Calibri" w:hAnsi="Calibri"/>
                <w:b/>
                <w:i w:val="0"/>
                <w:color w:val="FFFFFF"/>
                <w:sz w:val="19"/>
              </w:rPr>
              <w:t>Specialty</w:t>
            </w:r>
          </w:p>
        </w:tc>
        <w:tc>
          <w:tcPr>
            <w:tcW w:type="dxa" w:w="5760"/>
            <w:shd w:val="clear" w:color="auto" w:fill="0B1F3A"/>
            <w:tcMar>
              <w:top w:w="60" w:type="dxa"/>
              <w:bottom w:w="60" w:type="dxa"/>
              <w:start w:w="100" w:type="dxa"/>
              <w:end w:w="100" w:type="dxa"/>
            </w:tcMar>
          </w:tcPr>
          <w:p>
            <w:r/>
            <w:r>
              <w:rPr>
                <w:rFonts w:ascii="Calibri" w:hAnsi="Calibri"/>
                <w:b/>
                <w:i w:val="0"/>
                <w:color w:val="FFFFFF"/>
                <w:sz w:val="19"/>
              </w:rPr>
              <w:t>Focus</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9"/>
              </w:rPr>
              <w:t>1</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Web Security</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9"/>
              </w:rPr>
              <w:t>OWASP Top 10, browser mechanics, manual exploitation</w:t>
            </w:r>
          </w:p>
        </w:tc>
      </w:tr>
      <w:tr>
        <w:tc>
          <w:tcPr>
            <w:tcW w:type="dxa" w:w="576"/>
            <w:tcMar>
              <w:top w:w="60" w:type="dxa"/>
              <w:bottom w:w="60" w:type="dxa"/>
              <w:start w:w="100" w:type="dxa"/>
              <w:end w:w="100" w:type="dxa"/>
            </w:tcMar>
          </w:tcPr>
          <w:p>
            <w:pPr>
              <w:spacing w:after="0"/>
            </w:pPr>
            <w:r/>
            <w:r>
              <w:rPr>
                <w:rFonts w:ascii="Calibri" w:hAnsi="Calibri"/>
                <w:b/>
                <w:i w:val="0"/>
                <w:sz w:val="19"/>
              </w:rPr>
              <w:t>2</w:t>
            </w:r>
          </w:p>
        </w:tc>
        <w:tc>
          <w:tcPr>
            <w:tcW w:type="dxa" w:w="3744"/>
            <w:tcMar>
              <w:top w:w="60" w:type="dxa"/>
              <w:bottom w:w="60" w:type="dxa"/>
              <w:start w:w="100" w:type="dxa"/>
              <w:end w:w="100" w:type="dxa"/>
            </w:tcMar>
          </w:tcPr>
          <w:p>
            <w:pPr>
              <w:spacing w:after="0"/>
            </w:pPr>
            <w:r/>
            <w:r>
              <w:rPr>
                <w:rFonts w:ascii="Calibri" w:hAnsi="Calibri"/>
                <w:b w:val="0"/>
                <w:i w:val="0"/>
                <w:sz w:val="19"/>
              </w:rPr>
              <w:t>CCR (Cloud Config Review)</w:t>
            </w:r>
          </w:p>
        </w:tc>
        <w:tc>
          <w:tcPr>
            <w:tcW w:type="dxa" w:w="5760"/>
            <w:tcMar>
              <w:top w:w="60" w:type="dxa"/>
              <w:bottom w:w="60" w:type="dxa"/>
              <w:start w:w="100" w:type="dxa"/>
              <w:end w:w="100" w:type="dxa"/>
            </w:tcMar>
          </w:tcPr>
          <w:p>
            <w:pPr>
              <w:spacing w:after="0"/>
            </w:pPr>
            <w:r/>
            <w:r>
              <w:rPr>
                <w:rFonts w:ascii="Calibri" w:hAnsi="Calibri"/>
                <w:b w:val="0"/>
                <w:i w:val="0"/>
                <w:sz w:val="19"/>
              </w:rPr>
              <w:t>Cloud control planes, identity, serverless, IaC</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9"/>
              </w:rPr>
              <w:t>3</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Cloud Security (AWS/Azure/GCP)</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9"/>
              </w:rPr>
              <w:t>Misconfigs, IAM, serverless, containerization</w:t>
            </w:r>
          </w:p>
        </w:tc>
      </w:tr>
      <w:tr>
        <w:tc>
          <w:tcPr>
            <w:tcW w:type="dxa" w:w="576"/>
            <w:tcMar>
              <w:top w:w="60" w:type="dxa"/>
              <w:bottom w:w="60" w:type="dxa"/>
              <w:start w:w="100" w:type="dxa"/>
              <w:end w:w="100" w:type="dxa"/>
            </w:tcMar>
          </w:tcPr>
          <w:p>
            <w:pPr>
              <w:spacing w:after="0"/>
            </w:pPr>
            <w:r/>
            <w:r>
              <w:rPr>
                <w:rFonts w:ascii="Calibri" w:hAnsi="Calibri"/>
                <w:b/>
                <w:i w:val="0"/>
                <w:sz w:val="19"/>
              </w:rPr>
              <w:t>4</w:t>
            </w:r>
          </w:p>
        </w:tc>
        <w:tc>
          <w:tcPr>
            <w:tcW w:type="dxa" w:w="3744"/>
            <w:tcMar>
              <w:top w:w="60" w:type="dxa"/>
              <w:bottom w:w="60" w:type="dxa"/>
              <w:start w:w="100" w:type="dxa"/>
              <w:end w:w="100" w:type="dxa"/>
            </w:tcMar>
          </w:tcPr>
          <w:p>
            <w:pPr>
              <w:spacing w:after="0"/>
            </w:pPr>
            <w:r/>
            <w:r>
              <w:rPr>
                <w:rFonts w:ascii="Calibri" w:hAnsi="Calibri"/>
                <w:b w:val="0"/>
                <w:i w:val="0"/>
                <w:sz w:val="19"/>
              </w:rPr>
              <w:t>API Security</w:t>
            </w:r>
          </w:p>
        </w:tc>
        <w:tc>
          <w:tcPr>
            <w:tcW w:type="dxa" w:w="5760"/>
            <w:tcMar>
              <w:top w:w="60" w:type="dxa"/>
              <w:bottom w:w="60" w:type="dxa"/>
              <w:start w:w="100" w:type="dxa"/>
              <w:end w:w="100" w:type="dxa"/>
            </w:tcMar>
          </w:tcPr>
          <w:p>
            <w:pPr>
              <w:spacing w:after="0"/>
            </w:pPr>
            <w:r/>
            <w:r>
              <w:rPr>
                <w:rFonts w:ascii="Calibri" w:hAnsi="Calibri"/>
                <w:b w:val="0"/>
                <w:i w:val="0"/>
                <w:sz w:val="19"/>
              </w:rPr>
              <w:t>Headless layer — REST, GraphQL, gRPC</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9"/>
              </w:rPr>
              <w:t>5</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Network Security (NetPen)</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9"/>
              </w:rPr>
              <w:t>Infrastructure, protocols, Active Directory</w:t>
            </w:r>
          </w:p>
        </w:tc>
      </w:tr>
      <w:tr>
        <w:tc>
          <w:tcPr>
            <w:tcW w:type="dxa" w:w="576"/>
            <w:tcMar>
              <w:top w:w="60" w:type="dxa"/>
              <w:bottom w:w="60" w:type="dxa"/>
              <w:start w:w="100" w:type="dxa"/>
              <w:end w:w="100" w:type="dxa"/>
            </w:tcMar>
          </w:tcPr>
          <w:p>
            <w:pPr>
              <w:spacing w:after="0"/>
            </w:pPr>
            <w:r/>
            <w:r>
              <w:rPr>
                <w:rFonts w:ascii="Calibri" w:hAnsi="Calibri"/>
                <w:b/>
                <w:i w:val="0"/>
                <w:sz w:val="19"/>
              </w:rPr>
              <w:t>6</w:t>
            </w:r>
          </w:p>
        </w:tc>
        <w:tc>
          <w:tcPr>
            <w:tcW w:type="dxa" w:w="3744"/>
            <w:tcMar>
              <w:top w:w="60" w:type="dxa"/>
              <w:bottom w:w="60" w:type="dxa"/>
              <w:start w:w="100" w:type="dxa"/>
              <w:end w:w="100" w:type="dxa"/>
            </w:tcMar>
          </w:tcPr>
          <w:p>
            <w:pPr>
              <w:spacing w:after="0"/>
            </w:pPr>
            <w:r/>
            <w:r>
              <w:rPr>
                <w:rFonts w:ascii="Calibri" w:hAnsi="Calibri"/>
                <w:b w:val="0"/>
                <w:i w:val="0"/>
                <w:sz w:val="19"/>
              </w:rPr>
              <w:t>SCR (Secure Code Review)</w:t>
            </w:r>
          </w:p>
        </w:tc>
        <w:tc>
          <w:tcPr>
            <w:tcW w:type="dxa" w:w="5760"/>
            <w:tcMar>
              <w:top w:w="60" w:type="dxa"/>
              <w:bottom w:w="60" w:type="dxa"/>
              <w:start w:w="100" w:type="dxa"/>
              <w:end w:w="100" w:type="dxa"/>
            </w:tcMar>
          </w:tcPr>
          <w:p>
            <w:pPr>
              <w:spacing w:after="0"/>
            </w:pPr>
            <w:r/>
            <w:r>
              <w:rPr>
                <w:rFonts w:ascii="Calibri" w:hAnsi="Calibri"/>
                <w:b w:val="0"/>
                <w:i w:val="0"/>
                <w:sz w:val="19"/>
              </w:rPr>
              <w:t>Source-code vulnerabilities (SAST / manual)</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9"/>
              </w:rPr>
              <w:t>7</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Mobile Security (iOS/Android)</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9"/>
              </w:rPr>
              <w:t>Package/binary analysis, local data storage</w:t>
            </w:r>
          </w:p>
        </w:tc>
      </w:tr>
      <w:tr>
        <w:tc>
          <w:tcPr>
            <w:tcW w:type="dxa" w:w="576"/>
            <w:tcMar>
              <w:top w:w="60" w:type="dxa"/>
              <w:bottom w:w="60" w:type="dxa"/>
              <w:start w:w="100" w:type="dxa"/>
              <w:end w:w="100" w:type="dxa"/>
            </w:tcMar>
          </w:tcPr>
          <w:p>
            <w:pPr>
              <w:spacing w:after="0"/>
            </w:pPr>
            <w:r/>
            <w:r>
              <w:rPr>
                <w:rFonts w:ascii="Calibri" w:hAnsi="Calibri"/>
                <w:b/>
                <w:i w:val="0"/>
                <w:sz w:val="19"/>
              </w:rPr>
              <w:t>8</w:t>
            </w:r>
          </w:p>
        </w:tc>
        <w:tc>
          <w:tcPr>
            <w:tcW w:type="dxa" w:w="3744"/>
            <w:tcMar>
              <w:top w:w="60" w:type="dxa"/>
              <w:bottom w:w="60" w:type="dxa"/>
              <w:start w:w="100" w:type="dxa"/>
              <w:end w:w="100" w:type="dxa"/>
            </w:tcMar>
          </w:tcPr>
          <w:p>
            <w:pPr>
              <w:spacing w:after="0"/>
            </w:pPr>
            <w:r/>
            <w:r>
              <w:rPr>
                <w:rFonts w:ascii="Calibri" w:hAnsi="Calibri"/>
                <w:b w:val="0"/>
                <w:i w:val="0"/>
                <w:sz w:val="19"/>
              </w:rPr>
              <w:t>AI/LLM Security</w:t>
            </w:r>
          </w:p>
        </w:tc>
        <w:tc>
          <w:tcPr>
            <w:tcW w:type="dxa" w:w="5760"/>
            <w:tcMar>
              <w:top w:w="60" w:type="dxa"/>
              <w:bottom w:w="60" w:type="dxa"/>
              <w:start w:w="100" w:type="dxa"/>
              <w:end w:w="100" w:type="dxa"/>
            </w:tcMar>
          </w:tcPr>
          <w:p>
            <w:pPr>
              <w:spacing w:after="0"/>
            </w:pPr>
            <w:r/>
            <w:r>
              <w:rPr>
                <w:rFonts w:ascii="Calibri" w:hAnsi="Calibri"/>
                <w:b w:val="0"/>
                <w:i w:val="0"/>
                <w:sz w:val="19"/>
              </w:rPr>
              <w:t>Large Language Models &amp; prompt-based attacks</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9"/>
              </w:rPr>
              <w:t>9</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AI/MCP Security</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9"/>
              </w:rPr>
              <w:t>Integration layer between LLMs and external data/tools</w:t>
            </w:r>
          </w:p>
        </w:tc>
      </w:tr>
      <w:tr>
        <w:tc>
          <w:tcPr>
            <w:tcW w:type="dxa" w:w="576"/>
            <w:tcMar>
              <w:top w:w="60" w:type="dxa"/>
              <w:bottom w:w="60" w:type="dxa"/>
              <w:start w:w="100" w:type="dxa"/>
              <w:end w:w="100" w:type="dxa"/>
            </w:tcMar>
          </w:tcPr>
          <w:p>
            <w:pPr>
              <w:spacing w:after="0"/>
            </w:pPr>
            <w:r/>
            <w:r>
              <w:rPr>
                <w:rFonts w:ascii="Calibri" w:hAnsi="Calibri"/>
                <w:b/>
                <w:i w:val="0"/>
                <w:sz w:val="19"/>
              </w:rPr>
              <w:t>10</w:t>
            </w:r>
          </w:p>
        </w:tc>
        <w:tc>
          <w:tcPr>
            <w:tcW w:type="dxa" w:w="3744"/>
            <w:tcMar>
              <w:top w:w="60" w:type="dxa"/>
              <w:bottom w:w="60" w:type="dxa"/>
              <w:start w:w="100" w:type="dxa"/>
              <w:end w:w="100" w:type="dxa"/>
            </w:tcMar>
          </w:tcPr>
          <w:p>
            <w:pPr>
              <w:spacing w:after="0"/>
            </w:pPr>
            <w:r/>
            <w:r>
              <w:rPr>
                <w:rFonts w:ascii="Calibri" w:hAnsi="Calibri"/>
                <w:b w:val="0"/>
                <w:i w:val="0"/>
                <w:sz w:val="19"/>
              </w:rPr>
              <w:t>AI Agentic Security Testing</w:t>
            </w:r>
          </w:p>
        </w:tc>
        <w:tc>
          <w:tcPr>
            <w:tcW w:type="dxa" w:w="5760"/>
            <w:tcMar>
              <w:top w:w="60" w:type="dxa"/>
              <w:bottom w:w="60" w:type="dxa"/>
              <w:start w:w="100" w:type="dxa"/>
              <w:end w:w="100" w:type="dxa"/>
            </w:tcMar>
          </w:tcPr>
          <w:p>
            <w:pPr>
              <w:spacing w:after="0"/>
            </w:pPr>
            <w:r/>
            <w:r>
              <w:rPr>
                <w:rFonts w:ascii="Calibri" w:hAnsi="Calibri"/>
                <w:b w:val="0"/>
                <w:i w:val="0"/>
                <w:sz w:val="19"/>
              </w:rPr>
              <w:t>Autonomous agents, tool-using LLMs, multi-agent systems</w:t>
            </w:r>
          </w:p>
        </w:tc>
      </w:tr>
      <w:tr>
        <w:tc>
          <w:tcPr>
            <w:tcW w:type="dxa" w:w="576"/>
            <w:tcMar>
              <w:top w:w="60" w:type="dxa"/>
              <w:bottom w:w="60" w:type="dxa"/>
              <w:start w:w="100" w:type="dxa"/>
              <w:end w:w="100" w:type="dxa"/>
            </w:tcMar>
            <w:shd w:val="clear" w:color="auto" w:fill="F4F7FC"/>
          </w:tcPr>
          <w:p>
            <w:pPr>
              <w:spacing w:after="0"/>
            </w:pPr>
            <w:r/>
            <w:r>
              <w:rPr>
                <w:rFonts w:ascii="Calibri" w:hAnsi="Calibri"/>
                <w:b/>
                <w:i w:val="0"/>
                <w:sz w:val="19"/>
              </w:rPr>
              <w:t>11</w:t>
            </w:r>
          </w:p>
        </w:tc>
        <w:tc>
          <w:tcPr>
            <w:tcW w:type="dxa" w:w="3744"/>
            <w:tcMar>
              <w:top w:w="60" w:type="dxa"/>
              <w:bottom w:w="60" w:type="dxa"/>
              <w:start w:w="100" w:type="dxa"/>
              <w:end w:w="100" w:type="dxa"/>
            </w:tcMar>
            <w:shd w:val="clear" w:color="auto" w:fill="F4F7FC"/>
          </w:tcPr>
          <w:p>
            <w:pPr>
              <w:spacing w:after="0"/>
            </w:pPr>
            <w:r/>
            <w:r>
              <w:rPr>
                <w:rFonts w:ascii="Calibri" w:hAnsi="Calibri"/>
                <w:b w:val="0"/>
                <w:i w:val="0"/>
                <w:sz w:val="19"/>
              </w:rPr>
              <w:t>Lead / Case Management</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9"/>
              </w:rPr>
              <w:t>Technical direction, communications, relationship mgmt</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4F7FC"/>
            <w:tcMar>
              <w:top w:w="120" w:type="dxa"/>
              <w:bottom w:w="120" w:type="dxa"/>
              <w:start w:w="160" w:type="dxa"/>
              <w:end w:w="160" w:type="dxa"/>
            </w:tcMar>
          </w:tcPr>
          <w:p>
            <w:r/>
            <w:r>
              <w:rPr>
                <w:rFonts w:ascii="Calibri" w:hAnsi="Calibri"/>
                <w:b w:val="0"/>
                <w:i/>
                <w:color w:val="0B1F3A"/>
                <w:sz w:val="21"/>
              </w:rPr>
              <w:t>Vetting note: Vetting for each specialty follows a similar format — testing within a lab environment and submitting a written report showcasing the work performed. Some specialties also require a questionnaire.</w:t>
            </w:r>
          </w:p>
        </w:tc>
      </w:tr>
    </w:tbl>
    <w:p>
      <w:pPr>
        <w:spacing w:after="40"/>
      </w:pPr>
    </w:p>
    <w:tbl>
      <w:tblPr>
        <w:tblW w:type="auto" w:w="0"/>
        <w:jc w:val="center"/>
        <w:tblLook w:firstColumn="1" w:firstRow="1" w:lastColumn="0" w:lastRow="0" w:noHBand="0" w:noVBand="1" w:val="04A0"/>
      </w:tblPr>
      <w:tblGrid>
        <w:gridCol w:w="9648"/>
      </w:tblGrid>
      <w:tr>
        <w:tc>
          <w:tcPr>
            <w:tcW w:type="dxa" w:w="9648"/>
            <w:shd w:val="clear" w:color="auto" w:fill="F4F7FC"/>
            <w:tcMar>
              <w:top w:w="120" w:type="dxa"/>
              <w:bottom w:w="120" w:type="dxa"/>
              <w:start w:w="160" w:type="dxa"/>
              <w:end w:w="160" w:type="dxa"/>
            </w:tcMar>
          </w:tcPr>
          <w:p>
            <w:r/>
            <w:r>
              <w:rPr>
                <w:rFonts w:ascii="Calibri" w:hAnsi="Calibri"/>
                <w:b w:val="0"/>
                <w:i/>
                <w:color w:val="0B1F3A"/>
                <w:sz w:val="21"/>
              </w:rPr>
              <w:t>Cloud note: Cloud specialty vetting is per cloud environment. Being vetted for Azure does not imply the same tier for AWS. A tester can hold multiple cloud tiers at multiple levels.</w:t>
            </w:r>
          </w:p>
        </w:tc>
      </w:tr>
    </w:tbl>
    <w:p>
      <w:pPr>
        <w:spacing w:after="40"/>
      </w:pPr>
    </w:p>
    <w:p>
      <w:pPr>
        <w:spacing w:before="200" w:after="60"/>
      </w:pPr>
      <w:r>
        <w:rPr>
          <w:rFonts w:ascii="Calibri" w:hAnsi="Calibri"/>
          <w:b/>
          <w:i w:val="0"/>
          <w:color w:val="0B1F3A"/>
          <w:sz w:val="26"/>
        </w:rPr>
        <w:t>Web Security</w:t>
      </w:r>
    </w:p>
    <w:p>
      <w:pPr>
        <w:spacing w:after="60"/>
      </w:pPr>
      <w:r>
        <w:rPr>
          <w:rFonts w:ascii="Calibri" w:hAnsi="Calibri"/>
          <w:b w:val="0"/>
          <w:i/>
          <w:color w:val="535A66"/>
          <w:sz w:val="21"/>
        </w:rPr>
        <w:t>OWASP Top 10, browser mechanics, and manual exploitation.</w:t>
      </w:r>
    </w:p>
    <w:p>
      <w:pPr>
        <w:spacing w:after="40"/>
      </w:pPr>
      <w:r>
        <w:rPr>
          <w:rFonts w:ascii="Calibri" w:hAnsi="Calibri"/>
          <w:b/>
          <w:i w:val="0"/>
          <w:color w:val="1A4DB3"/>
          <w:sz w:val="21"/>
        </w:rPr>
        <w:t xml:space="preserve">Tier 1: </w:t>
      </w:r>
      <w:r>
        <w:rPr>
          <w:rFonts w:ascii="Calibri" w:hAnsi="Calibri"/>
          <w:b w:val="0"/>
          <w:i w:val="0"/>
          <w:sz w:val="21"/>
        </w:rPr>
        <w:t>Proficient with automated scanners (Burp Suite, ZAP). Can manually identify and exploit basic vulnerabilities like reflected XSS, SQLi, and IDORs. Understands HTTP/S protocols and browser security headers.</w:t>
      </w:r>
    </w:p>
    <w:p>
      <w:pPr>
        <w:spacing w:after="40"/>
      </w:pPr>
      <w:r>
        <w:rPr>
          <w:rFonts w:ascii="Calibri" w:hAnsi="Calibri"/>
          <w:b/>
          <w:i w:val="0"/>
          <w:color w:val="1A4DB3"/>
          <w:sz w:val="21"/>
        </w:rPr>
        <w:t xml:space="preserve">Tier 2: </w:t>
      </w:r>
      <w:r>
        <w:rPr>
          <w:rFonts w:ascii="Calibri" w:hAnsi="Calibri"/>
          <w:b w:val="0"/>
          <w:i w:val="0"/>
          <w:sz w:val="21"/>
        </w:rPr>
        <w:t>Performs deep manual testing. Can bypass WAFs, exploit complex CSRF/SSRF, and handle business-logic flaws. Proficient in JavaScript for DOM-based analysis and can chain multiple low-impact bugs into a high-impact exploit.</w:t>
      </w:r>
    </w:p>
    <w:p>
      <w:pPr>
        <w:spacing w:after="40"/>
      </w:pPr>
      <w:r>
        <w:rPr>
          <w:rFonts w:ascii="Calibri" w:hAnsi="Calibri"/>
          <w:b/>
          <w:i w:val="0"/>
          <w:color w:val="1A4DB3"/>
          <w:sz w:val="21"/>
        </w:rPr>
        <w:t xml:space="preserve">Specialist: </w:t>
      </w:r>
      <w:r>
        <w:rPr>
          <w:rFonts w:ascii="Calibri" w:hAnsi="Calibri"/>
          <w:b w:val="0"/>
          <w:i w:val="0"/>
          <w:sz w:val="21"/>
        </w:rPr>
        <w:t>Expert in modern frameworks (React, Angular). Performs deep source-code reviews, develops custom Burp extensions, and discovers zero-day vulnerabilities. Often final reviewer for complex remediation advice.</w:t>
      </w:r>
    </w:p>
    <w:p>
      <w:pPr>
        <w:spacing w:after="120"/>
      </w:pPr>
      <w:r>
        <w:rPr>
          <w:rFonts w:ascii="Calibri" w:hAnsi="Calibri"/>
          <w:b/>
          <w:i w:val="0"/>
          <w:color w:val="16829B"/>
          <w:sz w:val="21"/>
        </w:rPr>
        <w:t xml:space="preserve">Vetting: </w:t>
      </w:r>
      <w:r>
        <w:rPr>
          <w:rFonts w:ascii="Calibri" w:hAnsi="Calibri"/>
          <w:b w:val="0"/>
          <w:i/>
          <w:sz w:val="21"/>
        </w:rPr>
        <w:t>Transition from current HTB labs to OffSec custom web tracks.</w:t>
      </w:r>
    </w:p>
    <w:p>
      <w:pPr>
        <w:spacing w:before="200" w:after="60"/>
      </w:pPr>
      <w:r>
        <w:rPr>
          <w:rFonts w:ascii="Calibri" w:hAnsi="Calibri"/>
          <w:b/>
          <w:i w:val="0"/>
          <w:color w:val="0B1F3A"/>
          <w:sz w:val="26"/>
        </w:rPr>
        <w:t>CCR (Cloud Config Review — AWS/Azure/GCP)</w:t>
      </w:r>
    </w:p>
    <w:p>
      <w:pPr>
        <w:spacing w:after="60"/>
      </w:pPr>
      <w:r>
        <w:rPr>
          <w:rFonts w:ascii="Calibri" w:hAnsi="Calibri"/>
          <w:b w:val="0"/>
          <w:i/>
          <w:color w:val="535A66"/>
          <w:sz w:val="21"/>
        </w:rPr>
        <w:t>Auditing cloud control planes, identity, serverless code, and infrastructure-as-code (IaC).</w:t>
      </w:r>
    </w:p>
    <w:p>
      <w:pPr>
        <w:spacing w:after="40"/>
      </w:pPr>
      <w:r>
        <w:rPr>
          <w:rFonts w:ascii="Calibri" w:hAnsi="Calibri"/>
          <w:b/>
          <w:i w:val="0"/>
          <w:color w:val="1A4DB3"/>
          <w:sz w:val="21"/>
        </w:rPr>
        <w:t xml:space="preserve">Tier 1: </w:t>
      </w:r>
      <w:r>
        <w:rPr>
          <w:rFonts w:ascii="Calibri" w:hAnsi="Calibri"/>
          <w:b w:val="0"/>
          <w:i w:val="0"/>
          <w:sz w:val="21"/>
        </w:rPr>
        <w:t>Uses automated CSPM tools to identify deviations from benchmarks like CIS or NIST. Verifies low-hanging fruit such as unencrypted disks, public buckets, and overly permissive security groups.</w:t>
      </w:r>
    </w:p>
    <w:p>
      <w:pPr>
        <w:spacing w:after="40"/>
      </w:pPr>
      <w:r>
        <w:rPr>
          <w:rFonts w:ascii="Calibri" w:hAnsi="Calibri"/>
          <w:b/>
          <w:i w:val="0"/>
          <w:color w:val="1A4DB3"/>
          <w:sz w:val="21"/>
        </w:rPr>
        <w:t xml:space="preserve">Tier 2: </w:t>
      </w:r>
      <w:r>
        <w:rPr>
          <w:rFonts w:ascii="Calibri" w:hAnsi="Calibri"/>
          <w:b w:val="0"/>
          <w:i w:val="0"/>
          <w:sz w:val="21"/>
        </w:rPr>
        <w:t>Audits complex IAM and resource-based policies for privilege-escalation paths. Reviews IaC (Terraform, CloudFormation, Bicep) before deployment to catch CI/CD misconfigurations. Understands cross-account trust.</w:t>
      </w:r>
    </w:p>
    <w:p>
      <w:pPr>
        <w:spacing w:after="40"/>
      </w:pPr>
      <w:r>
        <w:rPr>
          <w:rFonts w:ascii="Calibri" w:hAnsi="Calibri"/>
          <w:b/>
          <w:i w:val="0"/>
          <w:color w:val="1A4DB3"/>
          <w:sz w:val="21"/>
        </w:rPr>
        <w:t xml:space="preserve">Specialist: </w:t>
      </w:r>
      <w:r>
        <w:rPr>
          <w:rFonts w:ascii="Calibri" w:hAnsi="Calibri"/>
          <w:b w:val="0"/>
          <w:i w:val="0"/>
          <w:sz w:val="21"/>
        </w:rPr>
        <w:t>Architect-level understanding of cloud identity boundaries (SCPs, permissions boundaries). Designs organizational guardrails and identifies subtle flaws in multi-tenant/hybrid-cloud architectures. Expert in auditing KMS, secret managers, and private links.</w:t>
      </w:r>
    </w:p>
    <w:p>
      <w:pPr>
        <w:spacing w:after="120"/>
      </w:pPr>
      <w:r>
        <w:rPr>
          <w:rFonts w:ascii="Calibri" w:hAnsi="Calibri"/>
          <w:b/>
          <w:i w:val="0"/>
          <w:color w:val="16829B"/>
          <w:sz w:val="21"/>
        </w:rPr>
        <w:t xml:space="preserve">Vetting: </w:t>
      </w:r>
      <w:r>
        <w:rPr>
          <w:rFonts w:ascii="Calibri" w:hAnsi="Calibri"/>
          <w:b w:val="0"/>
          <w:i/>
          <w:sz w:val="21"/>
        </w:rPr>
        <w:t>(Cobalt) Intentionally vulnerable cloud config, questionnaire, and report.</w:t>
      </w:r>
    </w:p>
    <w:p>
      <w:pPr>
        <w:spacing w:before="200" w:after="60"/>
      </w:pPr>
      <w:r>
        <w:rPr>
          <w:rFonts w:ascii="Calibri" w:hAnsi="Calibri"/>
          <w:b/>
          <w:i w:val="0"/>
          <w:color w:val="0B1F3A"/>
          <w:sz w:val="26"/>
        </w:rPr>
        <w:t>Cloud Security (AWS/Azure/GCP)</w:t>
      </w:r>
    </w:p>
    <w:p>
      <w:pPr>
        <w:spacing w:after="60"/>
      </w:pPr>
      <w:r>
        <w:rPr>
          <w:rFonts w:ascii="Calibri" w:hAnsi="Calibri"/>
          <w:b w:val="0"/>
          <w:i/>
          <w:color w:val="535A66"/>
          <w:sz w:val="21"/>
        </w:rPr>
        <w:t>Misconfigurations, IAM, vulnerable serverless functions, and containerization.</w:t>
      </w:r>
    </w:p>
    <w:p>
      <w:pPr>
        <w:spacing w:after="40"/>
      </w:pPr>
      <w:r>
        <w:rPr>
          <w:rFonts w:ascii="Calibri" w:hAnsi="Calibri"/>
          <w:b/>
          <w:i w:val="0"/>
          <w:color w:val="1A4DB3"/>
          <w:sz w:val="21"/>
        </w:rPr>
        <w:t xml:space="preserve">Tier 1: </w:t>
      </w:r>
      <w:r>
        <w:rPr>
          <w:rFonts w:ascii="Calibri" w:hAnsi="Calibri"/>
          <w:b w:val="0"/>
          <w:i w:val="0"/>
          <w:sz w:val="21"/>
        </w:rPr>
        <w:t>Identifies common misconfigurations (public S3 buckets, open security groups). Understands the shared responsibility model and can run automated CSPM tools.</w:t>
      </w:r>
    </w:p>
    <w:p>
      <w:pPr>
        <w:spacing w:after="40"/>
      </w:pPr>
      <w:r>
        <w:rPr>
          <w:rFonts w:ascii="Calibri" w:hAnsi="Calibri"/>
          <w:b/>
          <w:i w:val="0"/>
          <w:color w:val="1A4DB3"/>
          <w:sz w:val="21"/>
        </w:rPr>
        <w:t xml:space="preserve">Tier 2: </w:t>
      </w:r>
      <w:r>
        <w:rPr>
          <w:rFonts w:ascii="Calibri" w:hAnsi="Calibri"/>
          <w:b w:val="0"/>
          <w:i w:val="0"/>
          <w:sz w:val="21"/>
        </w:rPr>
        <w:t>Can exploit IAM role assumptions, perform lateral movement within a VPC, and escape basic container environments (Docker/K8s). Knowledgeable in cloud-native logging (CloudWatch/Azure Monitor) to avoid detection.</w:t>
      </w:r>
    </w:p>
    <w:p>
      <w:pPr>
        <w:spacing w:after="40"/>
      </w:pPr>
      <w:r>
        <w:rPr>
          <w:rFonts w:ascii="Calibri" w:hAnsi="Calibri"/>
          <w:b/>
          <w:i w:val="0"/>
          <w:color w:val="1A4DB3"/>
          <w:sz w:val="21"/>
        </w:rPr>
        <w:t xml:space="preserve">Specialist: </w:t>
      </w:r>
      <w:r>
        <w:rPr>
          <w:rFonts w:ascii="Calibri" w:hAnsi="Calibri"/>
          <w:b w:val="0"/>
          <w:i w:val="0"/>
          <w:sz w:val="21"/>
        </w:rPr>
        <w:t>Architect-level knowledge. Exploits complex multi-cloud environments, performs advanced Kubernetes cluster takeovers, and builds automated attack-and-detect simulations. Expert in serverless security and CI/CD pipeline poisoning.</w:t>
      </w:r>
    </w:p>
    <w:p>
      <w:pPr>
        <w:spacing w:after="120"/>
      </w:pPr>
      <w:r>
        <w:rPr>
          <w:rFonts w:ascii="Calibri" w:hAnsi="Calibri"/>
          <w:b/>
          <w:i w:val="0"/>
          <w:color w:val="16829B"/>
          <w:sz w:val="21"/>
        </w:rPr>
        <w:t xml:space="preserve">Vetting: </w:t>
      </w:r>
      <w:r>
        <w:rPr>
          <w:rFonts w:ascii="Calibri" w:hAnsi="Calibri"/>
          <w:b w:val="0"/>
          <w:i/>
          <w:sz w:val="21"/>
        </w:rPr>
        <w:t>Present (March 2026): use current Hack The Box Pro offering for cloud evaluations. Future: transition to OffSec custom cloud tracks once available.</w:t>
      </w:r>
    </w:p>
    <w:p>
      <w:pPr>
        <w:spacing w:before="200" w:after="60"/>
      </w:pPr>
      <w:r>
        <w:rPr>
          <w:rFonts w:ascii="Calibri" w:hAnsi="Calibri"/>
          <w:b/>
          <w:i w:val="0"/>
          <w:color w:val="0B1F3A"/>
          <w:sz w:val="26"/>
        </w:rPr>
        <w:t>API Security</w:t>
      </w:r>
    </w:p>
    <w:p>
      <w:pPr>
        <w:spacing w:after="60"/>
      </w:pPr>
      <w:r>
        <w:rPr>
          <w:rFonts w:ascii="Calibri" w:hAnsi="Calibri"/>
          <w:b w:val="0"/>
          <w:i/>
          <w:color w:val="535A66"/>
          <w:sz w:val="21"/>
        </w:rPr>
        <w:t>The “headless” layer of applications (REST, GraphQL, gRPC).</w:t>
      </w:r>
    </w:p>
    <w:p>
      <w:pPr>
        <w:spacing w:after="40"/>
      </w:pPr>
      <w:r>
        <w:rPr>
          <w:rFonts w:ascii="Calibri" w:hAnsi="Calibri"/>
          <w:b/>
          <w:i w:val="0"/>
          <w:color w:val="1A4DB3"/>
          <w:sz w:val="21"/>
        </w:rPr>
        <w:t xml:space="preserve">Tier 1: </w:t>
      </w:r>
      <w:r>
        <w:rPr>
          <w:rFonts w:ascii="Calibri" w:hAnsi="Calibri"/>
          <w:b w:val="0"/>
          <w:i w:val="0"/>
          <w:sz w:val="21"/>
        </w:rPr>
        <w:t>Understands RESTful principles and can interact with APIs. Identifies Broken Object Level Authorization (BOLA) and basic rate-limiting issues using automated tools.</w:t>
      </w:r>
    </w:p>
    <w:p>
      <w:pPr>
        <w:spacing w:after="40"/>
      </w:pPr>
      <w:r>
        <w:rPr>
          <w:rFonts w:ascii="Calibri" w:hAnsi="Calibri"/>
          <w:b/>
          <w:i w:val="0"/>
          <w:color w:val="1A4DB3"/>
          <w:sz w:val="21"/>
        </w:rPr>
        <w:t xml:space="preserve">Tier 2: </w:t>
      </w:r>
      <w:r>
        <w:rPr>
          <w:rFonts w:ascii="Calibri" w:hAnsi="Calibri"/>
          <w:b w:val="0"/>
          <w:i w:val="0"/>
          <w:sz w:val="21"/>
        </w:rPr>
        <w:t>Proficient in testing GraphQL (introspection exploits) and gRPC. Performs complex data injection and bypasses sophisticated authentication/JWT implementations. Understands mass assignment and excessive data exposure.</w:t>
      </w:r>
    </w:p>
    <w:p>
      <w:pPr>
        <w:spacing w:after="40"/>
      </w:pPr>
      <w:r>
        <w:rPr>
          <w:rFonts w:ascii="Calibri" w:hAnsi="Calibri"/>
          <w:b/>
          <w:i w:val="0"/>
          <w:color w:val="1A4DB3"/>
          <w:sz w:val="21"/>
        </w:rPr>
        <w:t xml:space="preserve">Specialist: </w:t>
      </w:r>
      <w:r>
        <w:rPr>
          <w:rFonts w:ascii="Calibri" w:hAnsi="Calibri"/>
          <w:b w:val="0"/>
          <w:i w:val="0"/>
          <w:sz w:val="21"/>
        </w:rPr>
        <w:t>Expert in API gateway security and microservices architecture. Performs manual fuzzing of proprietary protocols and identifies race conditions or logic flaws in asynchronous API calls.</w:t>
      </w:r>
    </w:p>
    <w:p>
      <w:pPr>
        <w:spacing w:after="120"/>
      </w:pPr>
      <w:r>
        <w:rPr>
          <w:rFonts w:ascii="Calibri" w:hAnsi="Calibri"/>
          <w:b/>
          <w:i w:val="0"/>
          <w:color w:val="16829B"/>
          <w:sz w:val="21"/>
        </w:rPr>
        <w:t xml:space="preserve">Vetting: </w:t>
      </w:r>
      <w:r>
        <w:rPr>
          <w:rFonts w:ascii="Calibri" w:hAnsi="Calibri"/>
          <w:b w:val="0"/>
          <w:i/>
          <w:sz w:val="21"/>
        </w:rPr>
        <w:t>Transition from current HTB labs to OffSec custom API tracks.</w:t>
      </w:r>
    </w:p>
    <w:p>
      <w:pPr>
        <w:spacing w:before="200" w:after="60"/>
      </w:pPr>
      <w:r>
        <w:rPr>
          <w:rFonts w:ascii="Calibri" w:hAnsi="Calibri"/>
          <w:b/>
          <w:i w:val="0"/>
          <w:color w:val="0B1F3A"/>
          <w:sz w:val="26"/>
        </w:rPr>
        <w:t>Network Security (NetPen)</w:t>
      </w:r>
    </w:p>
    <w:p>
      <w:pPr>
        <w:spacing w:after="60"/>
      </w:pPr>
      <w:r>
        <w:rPr>
          <w:rFonts w:ascii="Calibri" w:hAnsi="Calibri"/>
          <w:b w:val="0"/>
          <w:i/>
          <w:color w:val="535A66"/>
          <w:sz w:val="21"/>
        </w:rPr>
        <w:t>Infrastructure, protocols, and Active Directory.</w:t>
      </w:r>
    </w:p>
    <w:p>
      <w:pPr>
        <w:spacing w:after="40"/>
      </w:pPr>
      <w:r>
        <w:rPr>
          <w:rFonts w:ascii="Calibri" w:hAnsi="Calibri"/>
          <w:b/>
          <w:i w:val="0"/>
          <w:color w:val="1A4DB3"/>
          <w:sz w:val="21"/>
        </w:rPr>
        <w:t xml:space="preserve">Tier 1: </w:t>
      </w:r>
      <w:r>
        <w:rPr>
          <w:rFonts w:ascii="Calibri" w:hAnsi="Calibri"/>
          <w:b w:val="0"/>
          <w:i w:val="0"/>
          <w:sz w:val="21"/>
        </w:rPr>
        <w:t>Executes a comprehensive manual methodology — LLMNR/NBT-NS poisoning, SMB Relay, Kerberoasting. Manual post-exploitation and pivoting (SSH/Proxychains/Chisel), and identifies misconfigurations in common services (SNMP, IPMI, FTP). Produces high-quality technical reports with actionable remediation.</w:t>
      </w:r>
    </w:p>
    <w:p>
      <w:pPr>
        <w:spacing w:after="40"/>
      </w:pPr>
      <w:r>
        <w:rPr>
          <w:rFonts w:ascii="Calibri" w:hAnsi="Calibri"/>
          <w:b/>
          <w:i w:val="0"/>
          <w:color w:val="1A4DB3"/>
          <w:sz w:val="21"/>
        </w:rPr>
        <w:t xml:space="preserve">Tier 2: </w:t>
      </w:r>
      <w:r>
        <w:rPr>
          <w:rFonts w:ascii="Calibri" w:hAnsi="Calibri"/>
          <w:b w:val="0"/>
          <w:i w:val="0"/>
          <w:sz w:val="21"/>
        </w:rPr>
        <w:t>Complex environment takeovers and modern defensive bypass. Advanced AD analysis for non-obvious paths (GPO abuse, ACL delegation, unconstrained delegation). Bypasses NAC, executes VLAN hopping, and manually exploits legacy/proprietary services. Deep host-level EDR/AV evasion.</w:t>
      </w:r>
    </w:p>
    <w:p>
      <w:pPr>
        <w:spacing w:after="40"/>
      </w:pPr>
      <w:r>
        <w:rPr>
          <w:rFonts w:ascii="Calibri" w:hAnsi="Calibri"/>
          <w:b/>
          <w:i w:val="0"/>
          <w:color w:val="1A4DB3"/>
          <w:sz w:val="21"/>
        </w:rPr>
        <w:t xml:space="preserve">Specialist: </w:t>
      </w:r>
      <w:r>
        <w:rPr>
          <w:rFonts w:ascii="Calibri" w:hAnsi="Calibri"/>
          <w:b w:val="0"/>
          <w:i w:val="0"/>
          <w:sz w:val="21"/>
        </w:rPr>
        <w:t>Protocol-level exploitation and custom tool development. Reverse-engineers proprietary network protocols, performs manual cryptographic attacks on weak implementations, and exploits niche infrastructure (Mainframes, SCADA/ICS, VoIP). Develops internal methodology and provides architectural remediation for global networks.</w:t>
      </w:r>
    </w:p>
    <w:p>
      <w:pPr>
        <w:spacing w:after="120"/>
      </w:pPr>
      <w:r>
        <w:rPr>
          <w:rFonts w:ascii="Calibri" w:hAnsi="Calibri"/>
          <w:b/>
          <w:i w:val="0"/>
          <w:color w:val="16829B"/>
          <w:sz w:val="21"/>
        </w:rPr>
        <w:t xml:space="preserve">Vetting: </w:t>
      </w:r>
      <w:r>
        <w:rPr>
          <w:rFonts w:ascii="Calibri" w:hAnsi="Calibri"/>
          <w:b w:val="0"/>
          <w:i/>
          <w:sz w:val="21"/>
        </w:rPr>
        <w:t>Transition from current HTB labs to OffSec custom NetPen tracks.</w:t>
      </w:r>
    </w:p>
    <w:p>
      <w:pPr>
        <w:spacing w:before="200" w:after="60"/>
      </w:pPr>
      <w:r>
        <w:rPr>
          <w:rFonts w:ascii="Calibri" w:hAnsi="Calibri"/>
          <w:b/>
          <w:i w:val="0"/>
          <w:color w:val="0B1F3A"/>
          <w:sz w:val="26"/>
        </w:rPr>
        <w:t>SCR (Secure Code Review)</w:t>
      </w:r>
    </w:p>
    <w:p>
      <w:pPr>
        <w:spacing w:after="60"/>
      </w:pPr>
      <w:r>
        <w:rPr>
          <w:rFonts w:ascii="Calibri" w:hAnsi="Calibri"/>
          <w:b w:val="0"/>
          <w:i/>
          <w:color w:val="535A66"/>
          <w:sz w:val="21"/>
        </w:rPr>
        <w:t>Identifying vulnerabilities within application source code (SAST / manual).</w:t>
      </w:r>
    </w:p>
    <w:p>
      <w:pPr>
        <w:spacing w:after="40"/>
      </w:pPr>
      <w:r>
        <w:rPr>
          <w:rFonts w:ascii="Calibri" w:hAnsi="Calibri"/>
          <w:b/>
          <w:i w:val="0"/>
          <w:color w:val="1A4DB3"/>
          <w:sz w:val="21"/>
        </w:rPr>
        <w:t xml:space="preserve">Tier 1: </w:t>
      </w:r>
      <w:r>
        <w:rPr>
          <w:rFonts w:ascii="Calibri" w:hAnsi="Calibri"/>
          <w:b w:val="0"/>
          <w:i w:val="0"/>
          <w:sz w:val="21"/>
        </w:rPr>
        <w:t>Proficient with automated SAST tools (Checkmarx, Snyk, SonarQube). Triages noise from true positives for common flaws like SQLi and XSS. Understands basic secure-coding patterns in at least one major language (Java, Python, or C#).</w:t>
      </w:r>
    </w:p>
    <w:p>
      <w:pPr>
        <w:spacing w:after="40"/>
      </w:pPr>
      <w:r>
        <w:rPr>
          <w:rFonts w:ascii="Calibri" w:hAnsi="Calibri"/>
          <w:b/>
          <w:i w:val="0"/>
          <w:color w:val="1A4DB3"/>
          <w:sz w:val="21"/>
        </w:rPr>
        <w:t xml:space="preserve">Tier 2: </w:t>
      </w:r>
      <w:r>
        <w:rPr>
          <w:rFonts w:ascii="Calibri" w:hAnsi="Calibri"/>
          <w:b w:val="0"/>
          <w:i w:val="0"/>
          <w:sz w:val="21"/>
        </w:rPr>
        <w:t>Performs manual trace-to-source analysis, following user input (sources) to execution points (sinks). Identifies complex logic flaws and authorization bypasses automated tools miss. Reviews multiple languages and understands third-party library security (SCA).</w:t>
      </w:r>
    </w:p>
    <w:p>
      <w:pPr>
        <w:spacing w:after="40"/>
      </w:pPr>
      <w:r>
        <w:rPr>
          <w:rFonts w:ascii="Calibri" w:hAnsi="Calibri"/>
          <w:b/>
          <w:i w:val="0"/>
          <w:color w:val="1A4DB3"/>
          <w:sz w:val="21"/>
        </w:rPr>
        <w:t xml:space="preserve">Specialist: </w:t>
      </w:r>
      <w:r>
        <w:rPr>
          <w:rFonts w:ascii="Calibri" w:hAnsi="Calibri"/>
          <w:b w:val="0"/>
          <w:i w:val="0"/>
          <w:sz w:val="21"/>
        </w:rPr>
        <w:t>Expert in identifying unreachable-code vulnerabilities and complex race conditions. Builds custom SAST rules (e.g., Semgrep) for proprietary business-logic flaws. Assists developers in architecting secure-by-default patterns and fixing systemic weaknesses.</w:t>
      </w:r>
    </w:p>
    <w:p>
      <w:pPr>
        <w:spacing w:after="120"/>
      </w:pPr>
      <w:r>
        <w:rPr>
          <w:rFonts w:ascii="Calibri" w:hAnsi="Calibri"/>
          <w:b/>
          <w:i w:val="0"/>
          <w:color w:val="16829B"/>
          <w:sz w:val="21"/>
        </w:rPr>
        <w:t xml:space="preserve">Vetting: </w:t>
      </w:r>
      <w:r>
        <w:rPr>
          <w:rFonts w:ascii="Calibri" w:hAnsi="Calibri"/>
          <w:b w:val="0"/>
          <w:i/>
          <w:sz w:val="21"/>
        </w:rPr>
        <w:t>(Cobalt) Provide testers with intentionally vulnerable source code and a questionnaire; they evaluate the code for findings and produce a report.</w:t>
      </w:r>
    </w:p>
    <w:p>
      <w:pPr>
        <w:spacing w:before="200" w:after="60"/>
      </w:pPr>
      <w:r>
        <w:rPr>
          <w:rFonts w:ascii="Calibri" w:hAnsi="Calibri"/>
          <w:b/>
          <w:i w:val="0"/>
          <w:color w:val="0B1F3A"/>
          <w:sz w:val="26"/>
        </w:rPr>
        <w:t>Mobile Security (iOS/Android)</w:t>
      </w:r>
    </w:p>
    <w:p>
      <w:pPr>
        <w:spacing w:after="60"/>
      </w:pPr>
      <w:r>
        <w:rPr>
          <w:rFonts w:ascii="Calibri" w:hAnsi="Calibri"/>
          <w:b w:val="0"/>
          <w:i/>
          <w:color w:val="535A66"/>
          <w:sz w:val="21"/>
        </w:rPr>
        <w:t>Package/binary analysis and local data storage.</w:t>
      </w:r>
    </w:p>
    <w:p>
      <w:pPr>
        <w:spacing w:after="40"/>
      </w:pPr>
      <w:r>
        <w:rPr>
          <w:rFonts w:ascii="Calibri" w:hAnsi="Calibri"/>
          <w:b/>
          <w:i w:val="0"/>
          <w:color w:val="1A4DB3"/>
          <w:sz w:val="21"/>
        </w:rPr>
        <w:t xml:space="preserve">Tier 1: </w:t>
      </w:r>
      <w:r>
        <w:rPr>
          <w:rFonts w:ascii="Calibri" w:hAnsi="Calibri"/>
          <w:b w:val="0"/>
          <w:i w:val="0"/>
          <w:sz w:val="21"/>
        </w:rPr>
        <w:t>Performs static analysis on APKs/IPAs using automated tools (MobSF). Identifies insecure local storage, hardcoded keys, and excessive permissions.</w:t>
      </w:r>
    </w:p>
    <w:p>
      <w:pPr>
        <w:spacing w:after="40"/>
      </w:pPr>
      <w:r>
        <w:rPr>
          <w:rFonts w:ascii="Calibri" w:hAnsi="Calibri"/>
          <w:b/>
          <w:i w:val="0"/>
          <w:color w:val="1A4DB3"/>
          <w:sz w:val="21"/>
        </w:rPr>
        <w:t xml:space="preserve">Tier 2: </w:t>
      </w:r>
      <w:r>
        <w:rPr>
          <w:rFonts w:ascii="Calibri" w:hAnsi="Calibri"/>
          <w:b w:val="0"/>
          <w:i w:val="0"/>
          <w:sz w:val="21"/>
        </w:rPr>
        <w:t>Proficient in dynamic analysis using Frida or Objection. Bypasses SSL pinning and root/jailbreak detection. Understands IPC vulnerabilities and deep-link exploitation.</w:t>
      </w:r>
    </w:p>
    <w:p>
      <w:pPr>
        <w:spacing w:after="40"/>
      </w:pPr>
      <w:r>
        <w:rPr>
          <w:rFonts w:ascii="Calibri" w:hAnsi="Calibri"/>
          <w:b/>
          <w:i w:val="0"/>
          <w:color w:val="1A4DB3"/>
          <w:sz w:val="21"/>
        </w:rPr>
        <w:t xml:space="preserve">Specialist: </w:t>
      </w:r>
      <w:r>
        <w:rPr>
          <w:rFonts w:ascii="Calibri" w:hAnsi="Calibri"/>
          <w:b w:val="0"/>
          <w:i w:val="0"/>
          <w:sz w:val="21"/>
        </w:rPr>
        <w:t>Expert in reverse engineering obfuscated binaries and custom encryption. Performs manual exploit development for mobile OS kernels and analyzes complex ARM assembly code.</w:t>
      </w:r>
    </w:p>
    <w:p>
      <w:pPr>
        <w:spacing w:after="120"/>
      </w:pPr>
      <w:r>
        <w:rPr>
          <w:rFonts w:ascii="Calibri" w:hAnsi="Calibri"/>
          <w:b/>
          <w:i w:val="0"/>
          <w:color w:val="16829B"/>
          <w:sz w:val="21"/>
        </w:rPr>
        <w:t xml:space="preserve">Vetting: </w:t>
      </w:r>
      <w:r>
        <w:rPr>
          <w:rFonts w:ascii="Calibri" w:hAnsi="Calibri"/>
          <w:b w:val="0"/>
          <w:i/>
          <w:sz w:val="21"/>
        </w:rPr>
        <w:t>Transition from current HTB labs to (Cobalt) intentionally vulnerable mobile applications, questionnaire, and report.</w:t>
      </w:r>
    </w:p>
    <w:p>
      <w:pPr>
        <w:spacing w:before="200" w:after="60"/>
      </w:pPr>
      <w:r>
        <w:rPr>
          <w:rFonts w:ascii="Calibri" w:hAnsi="Calibri"/>
          <w:b/>
          <w:i w:val="0"/>
          <w:color w:val="0B1F3A"/>
          <w:sz w:val="26"/>
        </w:rPr>
        <w:t>AI/LLM Security</w:t>
      </w:r>
    </w:p>
    <w:p>
      <w:pPr>
        <w:spacing w:after="60"/>
      </w:pPr>
      <w:r>
        <w:rPr>
          <w:rFonts w:ascii="Calibri" w:hAnsi="Calibri"/>
          <w:b w:val="0"/>
          <w:i/>
          <w:color w:val="535A66"/>
          <w:sz w:val="21"/>
        </w:rPr>
        <w:t>Large Language Models and prompt-based attacks.</w:t>
      </w:r>
    </w:p>
    <w:p>
      <w:pPr>
        <w:spacing w:after="40"/>
      </w:pPr>
      <w:r>
        <w:rPr>
          <w:rFonts w:ascii="Calibri" w:hAnsi="Calibri"/>
          <w:b/>
          <w:i w:val="0"/>
          <w:color w:val="1A4DB3"/>
          <w:sz w:val="21"/>
        </w:rPr>
        <w:t xml:space="preserve">Tier 1: </w:t>
      </w:r>
      <w:r>
        <w:rPr>
          <w:rFonts w:ascii="Calibri" w:hAnsi="Calibri"/>
          <w:b w:val="0"/>
          <w:i w:val="0"/>
          <w:sz w:val="21"/>
        </w:rPr>
        <w:t>Understands the OWASP Top 10 for LLMs. Performs basic prompt injection (jailbreaking) and identifies insecure output handling.</w:t>
      </w:r>
    </w:p>
    <w:p>
      <w:pPr>
        <w:spacing w:after="40"/>
      </w:pPr>
      <w:r>
        <w:rPr>
          <w:rFonts w:ascii="Calibri" w:hAnsi="Calibri"/>
          <w:b/>
          <w:i w:val="0"/>
          <w:color w:val="1A4DB3"/>
          <w:sz w:val="21"/>
        </w:rPr>
        <w:t xml:space="preserve">Tier 2: </w:t>
      </w:r>
      <w:r>
        <w:rPr>
          <w:rFonts w:ascii="Calibri" w:hAnsi="Calibri"/>
          <w:b w:val="0"/>
          <w:i w:val="0"/>
          <w:sz w:val="21"/>
        </w:rPr>
        <w:t>Performs indirect prompt injection and exploits data poisoning. Understands training-data extraction (model inversion) and manipulation of RAG (Retrieval-Augmented Generation) workflows.</w:t>
      </w:r>
    </w:p>
    <w:p>
      <w:pPr>
        <w:spacing w:after="40"/>
      </w:pPr>
      <w:r>
        <w:rPr>
          <w:rFonts w:ascii="Calibri" w:hAnsi="Calibri"/>
          <w:b/>
          <w:i w:val="0"/>
          <w:color w:val="1A4DB3"/>
          <w:sz w:val="21"/>
        </w:rPr>
        <w:t xml:space="preserve">Specialist: </w:t>
      </w:r>
      <w:r>
        <w:rPr>
          <w:rFonts w:ascii="Calibri" w:hAnsi="Calibri"/>
          <w:b w:val="0"/>
          <w:i w:val="0"/>
          <w:sz w:val="21"/>
        </w:rPr>
        <w:t>Deep understanding of model weights, gradients, and adversarial machine learning. Performs sophisticated evasion attacks against AI-driven defenses and audits neural-network architecture for supply-chain vulnerabilities.</w:t>
      </w:r>
    </w:p>
    <w:p>
      <w:pPr>
        <w:spacing w:after="120"/>
      </w:pPr>
      <w:r>
        <w:rPr>
          <w:rFonts w:ascii="Calibri" w:hAnsi="Calibri"/>
          <w:b/>
          <w:i w:val="0"/>
          <w:color w:val="16829B"/>
          <w:sz w:val="21"/>
        </w:rPr>
        <w:t xml:space="preserve">Vetting: </w:t>
      </w:r>
      <w:r>
        <w:rPr>
          <w:rFonts w:ascii="Calibri" w:hAnsi="Calibri"/>
          <w:b w:val="0"/>
          <w:i/>
          <w:sz w:val="21"/>
        </w:rPr>
        <w:t>(Cobalt) Intentionally vulnerable LLM implementation, questionnaire, and report.</w:t>
      </w:r>
    </w:p>
    <w:p>
      <w:pPr>
        <w:spacing w:before="200" w:after="60"/>
      </w:pPr>
      <w:r>
        <w:rPr>
          <w:rFonts w:ascii="Calibri" w:hAnsi="Calibri"/>
          <w:b/>
          <w:i w:val="0"/>
          <w:color w:val="0B1F3A"/>
          <w:sz w:val="26"/>
        </w:rPr>
        <w:t>AI/MCP Security (Model Context Protocol)</w:t>
      </w:r>
    </w:p>
    <w:p>
      <w:pPr>
        <w:spacing w:after="60"/>
      </w:pPr>
      <w:r>
        <w:rPr>
          <w:rFonts w:ascii="Calibri" w:hAnsi="Calibri"/>
          <w:b w:val="0"/>
          <w:i/>
          <w:color w:val="535A66"/>
          <w:sz w:val="21"/>
        </w:rPr>
        <w:t>The integration layer between LLMs and external data/tools.</w:t>
      </w:r>
    </w:p>
    <w:p>
      <w:pPr>
        <w:spacing w:after="40"/>
      </w:pPr>
      <w:r>
        <w:rPr>
          <w:rFonts w:ascii="Calibri" w:hAnsi="Calibri"/>
          <w:b/>
          <w:i w:val="0"/>
          <w:color w:val="1A4DB3"/>
          <w:sz w:val="21"/>
        </w:rPr>
        <w:t xml:space="preserve">Tier 1: </w:t>
      </w:r>
      <w:r>
        <w:rPr>
          <w:rFonts w:ascii="Calibri" w:hAnsi="Calibri"/>
          <w:b w:val="0"/>
          <w:i w:val="0"/>
          <w:sz w:val="21"/>
        </w:rPr>
        <w:t>Understands how MCP connects LLMs to local/remote resources. Identifies basic permission issues where an LLM is granted too much access to a filesystem or database via a host.</w:t>
      </w:r>
    </w:p>
    <w:p>
      <w:pPr>
        <w:spacing w:after="40"/>
      </w:pPr>
      <w:r>
        <w:rPr>
          <w:rFonts w:ascii="Calibri" w:hAnsi="Calibri"/>
          <w:b/>
          <w:i w:val="0"/>
          <w:color w:val="1A4DB3"/>
          <w:sz w:val="21"/>
        </w:rPr>
        <w:t xml:space="preserve">Tier 2: </w:t>
      </w:r>
      <w:r>
        <w:rPr>
          <w:rFonts w:ascii="Calibri" w:hAnsi="Calibri"/>
          <w:b w:val="0"/>
          <w:i w:val="0"/>
          <w:sz w:val="21"/>
        </w:rPr>
        <w:t>Exploits Tool-Use vulnerabilities — tricking the model into executing unintended commands on the host via the MCP. Identifies flaws in the handoff between the Model, the Server, and the Client.</w:t>
      </w:r>
    </w:p>
    <w:p>
      <w:pPr>
        <w:spacing w:after="40"/>
      </w:pPr>
      <w:r>
        <w:rPr>
          <w:rFonts w:ascii="Calibri" w:hAnsi="Calibri"/>
          <w:b/>
          <w:i w:val="0"/>
          <w:color w:val="1A4DB3"/>
          <w:sz w:val="21"/>
        </w:rPr>
        <w:t xml:space="preserve">Specialist: </w:t>
      </w:r>
      <w:r>
        <w:rPr>
          <w:rFonts w:ascii="Calibri" w:hAnsi="Calibri"/>
          <w:b w:val="0"/>
          <w:i w:val="0"/>
          <w:sz w:val="21"/>
        </w:rPr>
        <w:t>Expert in the security architecture of the MCP standard itself. Identifies vulnerabilities in custom-built MCP servers, exploits sandbox escapes, and mitigates complex man-in-the-middle attacks between the LLM and its connected data sources.</w:t>
      </w:r>
    </w:p>
    <w:p>
      <w:pPr>
        <w:spacing w:after="120"/>
      </w:pPr>
      <w:r>
        <w:rPr>
          <w:rFonts w:ascii="Calibri" w:hAnsi="Calibri"/>
          <w:b/>
          <w:i w:val="0"/>
          <w:color w:val="16829B"/>
          <w:sz w:val="21"/>
        </w:rPr>
        <w:t xml:space="preserve">Vetting: </w:t>
      </w:r>
      <w:r>
        <w:rPr>
          <w:rFonts w:ascii="Calibri" w:hAnsi="Calibri"/>
          <w:b w:val="0"/>
          <w:i/>
          <w:sz w:val="21"/>
        </w:rPr>
        <w:t>(Cobalt) Intentionally vulnerable LLM lab, questionnaire, and report.</w:t>
      </w:r>
    </w:p>
    <w:p>
      <w:pPr>
        <w:spacing w:before="200" w:after="60"/>
      </w:pPr>
      <w:r>
        <w:rPr>
          <w:rFonts w:ascii="Calibri" w:hAnsi="Calibri"/>
          <w:b/>
          <w:i w:val="0"/>
          <w:color w:val="0B1F3A"/>
          <w:sz w:val="26"/>
        </w:rPr>
        <w:t>AI Agentic Security Testing</w:t>
      </w:r>
    </w:p>
    <w:p>
      <w:pPr>
        <w:spacing w:after="60"/>
      </w:pPr>
      <w:r>
        <w:rPr>
          <w:rFonts w:ascii="Calibri" w:hAnsi="Calibri"/>
          <w:b w:val="0"/>
          <w:i/>
          <w:color w:val="535A66"/>
          <w:sz w:val="21"/>
        </w:rPr>
        <w:t>Autonomous AI agents, tool-using LLMs, and multi-agent systems that can take actions in the real world.</w:t>
      </w:r>
    </w:p>
    <w:p>
      <w:pPr>
        <w:spacing w:after="40"/>
      </w:pPr>
      <w:r>
        <w:rPr>
          <w:rFonts w:ascii="Calibri" w:hAnsi="Calibri"/>
          <w:b/>
          <w:i w:val="0"/>
          <w:color w:val="1A4DB3"/>
          <w:sz w:val="21"/>
        </w:rPr>
        <w:t xml:space="preserve">Tier 1 — Foundational: </w:t>
      </w:r>
      <w:r>
        <w:rPr>
          <w:rFonts w:ascii="Calibri" w:hAnsi="Calibri"/>
          <w:b w:val="0"/>
          <w:i w:val="0"/>
          <w:sz w:val="21"/>
        </w:rPr>
        <w:t>Understands the OWASP Top 10 for LLM Applications and agentic AI threat models. Performs basic prompt injection (jailbreaking) and goal-hijacking attacks. Identifies insecure output handling and over-permissive tool access. Tests for privilege escalation through agent tool chains. Understands agent architectures: ReAct, AutoGPT, LangChain Agents, CrewAI.</w:t>
      </w:r>
    </w:p>
    <w:p>
      <w:pPr>
        <w:spacing w:after="40"/>
      </w:pPr>
      <w:r>
        <w:rPr>
          <w:rFonts w:ascii="Calibri" w:hAnsi="Calibri"/>
          <w:b/>
          <w:i w:val="0"/>
          <w:color w:val="1A4DB3"/>
          <w:sz w:val="21"/>
        </w:rPr>
        <w:t xml:space="preserve">Tier 2 — Advanced: </w:t>
      </w:r>
      <w:r>
        <w:rPr>
          <w:rFonts w:ascii="Calibri" w:hAnsi="Calibri"/>
          <w:b w:val="0"/>
          <w:i w:val="0"/>
          <w:sz w:val="21"/>
        </w:rPr>
        <w:t>Performs indirect prompt injection via external data sources (documents, emails, web pages). Exploits tool/function-calling vulnerabilities (SSRF via agent, file-system access, code execution). Tests multi-agent communication for injection/manipulation between agents. Identifies confused-deputy attacks. Exploits memory/context poisoning in persistent sessions. Tests RAG poisoning and knowledge-base manipulation. Understands guardrail bypass and safety-filter evasion.</w:t>
      </w:r>
    </w:p>
    <w:p>
      <w:pPr>
        <w:spacing w:after="120"/>
      </w:pPr>
      <w:r>
        <w:rPr>
          <w:rFonts w:ascii="Calibri" w:hAnsi="Calibri"/>
          <w:b/>
          <w:i w:val="0"/>
          <w:color w:val="1A4DB3"/>
          <w:sz w:val="21"/>
        </w:rPr>
        <w:t xml:space="preserve">Tier 3 — Specialist: </w:t>
      </w:r>
      <w:r>
        <w:rPr>
          <w:rFonts w:ascii="Calibri" w:hAnsi="Calibri"/>
          <w:b w:val="0"/>
          <w:i w:val="0"/>
          <w:sz w:val="21"/>
        </w:rPr>
        <w:t>Deep understanding of agent orchestration frameworks and their attack surfaces. Audits autonomous decision loops for unsafe action sequences. Exploits inter-agent trust boundaries in multi-agent swarms. Performs goal-misalignment attacks. Tests resource exhaustion and infinite-loop vulnerabilities. Audits human-in-the-loop bypass mechanisms. Understands supply-chain attacks on agent plugins, tools, and model weights. Evaluates sandboxing/containment for agent code execution.</w:t>
      </w:r>
    </w:p>
    <w:p>
      <w:pPr>
        <w:spacing w:before="200" w:after="60"/>
      </w:pPr>
      <w:r>
        <w:rPr>
          <w:rFonts w:ascii="Calibri" w:hAnsi="Calibri"/>
          <w:b/>
          <w:i w:val="0"/>
          <w:color w:val="0B1F3A"/>
          <w:sz w:val="26"/>
        </w:rPr>
        <w:t>Lead / Case Management</w:t>
      </w:r>
    </w:p>
    <w:p>
      <w:pPr>
        <w:spacing w:after="60"/>
      </w:pPr>
      <w:r>
        <w:rPr>
          <w:rFonts w:ascii="Calibri" w:hAnsi="Calibri"/>
          <w:b w:val="0"/>
          <w:i/>
          <w:color w:val="535A66"/>
          <w:sz w:val="21"/>
        </w:rPr>
        <w:t>Technical direction, communications, and relationship management.</w:t>
      </w:r>
    </w:p>
    <w:p>
      <w:pPr>
        <w:spacing w:after="120"/>
      </w:pPr>
      <w:r>
        <w:rPr>
          <w:rFonts w:ascii="Calibri" w:hAnsi="Calibri"/>
          <w:b/>
          <w:i w:val="0"/>
          <w:color w:val="1A4DB3"/>
          <w:sz w:val="21"/>
        </w:rPr>
        <w:t xml:space="preserve">Specialist: </w:t>
      </w:r>
      <w:r>
        <w:rPr>
          <w:rFonts w:ascii="Calibri" w:hAnsi="Calibri"/>
          <w:b w:val="0"/>
          <w:i w:val="0"/>
          <w:sz w:val="21"/>
        </w:rPr>
        <w:t>Breaks down the testing tasks necessary to fulfill the brief and scope of each engagement. Organizes tasks into coverage categories and distributes workload to the testing team. Understands the technical requirements of the test and assists team staff with direction for complex work tasks. Experienced in writing findings and reports and can provide technical reasoning for all reported findings.</w:t>
      </w:r>
    </w:p>
    <w:p>
      <w:r>
        <w:br w:type="page"/>
      </w:r>
    </w:p>
    <w:p>
      <w:pPr>
        <w:spacing w:before="320" w:after="80"/>
        <w:pBdr>
          <w:bottom w:val="single" w:sz="10" w:space="4" w:color="1A4DB3"/>
        </w:pBdr>
      </w:pPr>
      <w:r>
        <w:rPr>
          <w:rFonts w:ascii="Calibri" w:hAnsi="Calibri"/>
          <w:b/>
          <w:i w:val="0"/>
          <w:color w:val="1A4DB3"/>
          <w:sz w:val="32"/>
        </w:rPr>
        <w:t>6. Qualifications &amp; Eligibility</w:t>
      </w:r>
    </w:p>
    <w:p>
      <w:pPr>
        <w:spacing w:before="200" w:after="60"/>
      </w:pPr>
      <w:r>
        <w:rPr>
          <w:rFonts w:ascii="Calibri" w:hAnsi="Calibri"/>
          <w:b/>
          <w:i w:val="0"/>
          <w:color w:val="0B1F3A"/>
          <w:sz w:val="26"/>
        </w:rPr>
        <w:t>Senior (Tier 2) — Baseline Qualifications</w:t>
      </w:r>
    </w:p>
    <w:p>
      <w:pPr>
        <w:pStyle w:val="ListBullet"/>
        <w:spacing w:after="40"/>
      </w:pPr>
      <w:r>
        <w:rPr>
          <w:rFonts w:ascii="Calibri" w:hAnsi="Calibri"/>
          <w:b w:val="0"/>
          <w:i w:val="0"/>
          <w:sz w:val="21"/>
        </w:rPr>
        <w:t>4+ years of professional baseline / career experience.</w:t>
      </w:r>
    </w:p>
    <w:p>
      <w:pPr>
        <w:pStyle w:val="ListBullet"/>
        <w:spacing w:after="40"/>
      </w:pPr>
      <w:r>
        <w:rPr>
          <w:rFonts w:ascii="Calibri" w:hAnsi="Calibri"/>
          <w:b w:val="0"/>
          <w:i w:val="0"/>
          <w:sz w:val="21"/>
        </w:rPr>
        <w:t>Web application testing proficient — ~60% of assessments.</w:t>
      </w:r>
    </w:p>
    <w:p>
      <w:pPr>
        <w:pStyle w:val="ListBullet"/>
        <w:spacing w:after="40"/>
      </w:pPr>
      <w:r>
        <w:rPr>
          <w:rFonts w:ascii="Calibri" w:hAnsi="Calibri"/>
          <w:b w:val="0"/>
          <w:i w:val="0"/>
          <w:sz w:val="21"/>
        </w:rPr>
        <w:t>Additional assessment eligibility: Network, AI/LLM, Cloud.</w:t>
      </w:r>
    </w:p>
    <w:p>
      <w:pPr>
        <w:pStyle w:val="ListBullet"/>
        <w:spacing w:after="40"/>
      </w:pPr>
      <w:r>
        <w:rPr>
          <w:rFonts w:ascii="Calibri" w:hAnsi="Calibri"/>
          <w:b w:val="0"/>
          <w:i w:val="0"/>
          <w:sz w:val="21"/>
        </w:rPr>
        <w:t>Coordinators (15 PT, 4.3 tester score).</w:t>
      </w:r>
    </w:p>
    <w:p>
      <w:pPr>
        <w:pStyle w:val="ListBullet"/>
        <w:spacing w:after="40"/>
      </w:pPr>
      <w:r>
        <w:rPr>
          <w:rFonts w:ascii="Calibri" w:hAnsi="Calibri"/>
          <w:b w:val="0"/>
          <w:i w:val="0"/>
          <w:sz w:val="21"/>
        </w:rPr>
        <w:t>Certifications, CVEs.</w:t>
      </w:r>
    </w:p>
    <w:p>
      <w:pPr>
        <w:spacing w:before="140" w:after="40"/>
      </w:pPr>
      <w:r>
        <w:rPr>
          <w:rFonts w:ascii="Calibri" w:hAnsi="Calibri"/>
          <w:b/>
          <w:i w:val="0"/>
          <w:color w:val="16829B"/>
          <w:sz w:val="23"/>
        </w:rPr>
        <w:t>Community Engagement (required)</w:t>
      </w:r>
    </w:p>
    <w:p>
      <w:pPr>
        <w:pStyle w:val="ListBullet"/>
        <w:spacing w:after="40"/>
      </w:pPr>
      <w:r>
        <w:rPr>
          <w:rFonts w:ascii="Calibri" w:hAnsi="Calibri"/>
          <w:b w:val="0"/>
          <w:i w:val="0"/>
          <w:sz w:val="21"/>
        </w:rPr>
        <w:t>Consistently submitting peer and pentest feedback post-pentest.</w:t>
      </w:r>
    </w:p>
    <w:p>
      <w:pPr>
        <w:pStyle w:val="ListBullet"/>
        <w:spacing w:after="40"/>
      </w:pPr>
      <w:r>
        <w:rPr>
          <w:rFonts w:ascii="Calibri" w:hAnsi="Calibri"/>
          <w:b w:val="0"/>
          <w:i w:val="0"/>
          <w:sz w:val="21"/>
        </w:rPr>
        <w:t>Active in Core Slack, surveys, office hours, etc.</w:t>
      </w:r>
    </w:p>
    <w:p>
      <w:pPr>
        <w:pStyle w:val="ListBullet"/>
        <w:spacing w:after="40"/>
      </w:pPr>
      <w:r>
        <w:rPr>
          <w:rFonts w:ascii="Calibri" w:hAnsi="Calibri"/>
          <w:b w:val="0"/>
          <w:i w:val="0"/>
          <w:sz w:val="21"/>
        </w:rPr>
        <w:t>Interested in producing content.</w:t>
      </w:r>
    </w:p>
    <w:p>
      <w:pPr>
        <w:spacing w:before="200" w:after="60"/>
      </w:pPr>
      <w:r>
        <w:rPr>
          <w:rFonts w:ascii="Calibri" w:hAnsi="Calibri"/>
          <w:b/>
          <w:i w:val="0"/>
          <w:color w:val="0B1F3A"/>
          <w:sz w:val="26"/>
        </w:rPr>
        <w:t>Lead Testers (≈180)</w:t>
      </w:r>
    </w:p>
    <w:p>
      <w:pPr>
        <w:pStyle w:val="ListBullet"/>
        <w:spacing w:after="40"/>
      </w:pPr>
      <w:r>
        <w:rPr>
          <w:rFonts w:ascii="Calibri" w:hAnsi="Calibri"/>
          <w:b w:val="0"/>
          <w:i w:val="0"/>
          <w:sz w:val="21"/>
        </w:rPr>
        <w:t>Requires research across the past 3–5 tests.</w:t>
      </w:r>
    </w:p>
    <w:p>
      <w:pPr>
        <w:pStyle w:val="ListBullet"/>
        <w:spacing w:after="40"/>
      </w:pPr>
      <w:r>
        <w:rPr>
          <w:rFonts w:ascii="Calibri" w:hAnsi="Calibri"/>
          <w:b w:val="0"/>
          <w:i w:val="0"/>
          <w:sz w:val="21"/>
        </w:rPr>
        <w:t>Determine, from log review, what technical competencies qualify a tester as senior.</w:t>
      </w:r>
    </w:p>
    <w:p>
      <w:pPr>
        <w:pStyle w:val="ListBullet"/>
        <w:spacing w:after="40"/>
      </w:pPr>
      <w:r>
        <w:rPr>
          <w:rFonts w:ascii="Calibri" w:hAnsi="Calibri"/>
          <w:b w:val="0"/>
          <w:i w:val="0"/>
          <w:sz w:val="21"/>
        </w:rPr>
        <w:t>Has at least 3 Cobalt specialties — e.g., SCR, DRA, AI/LLM, Cloud.</w:t>
      </w:r>
    </w:p>
    <w:p>
      <w:pPr>
        <w:pStyle w:val="ListBullet"/>
        <w:spacing w:after="40"/>
      </w:pPr>
      <w:r>
        <w:rPr>
          <w:rFonts w:ascii="Calibri" w:hAnsi="Calibri"/>
          <w:b w:val="0"/>
          <w:i w:val="0"/>
          <w:sz w:val="21"/>
        </w:rPr>
        <w:t>Data-driven, supported by the data team.</w:t>
      </w:r>
    </w:p>
    <w:p>
      <w:pPr>
        <w:pStyle w:val="ListBullet"/>
        <w:spacing w:after="40"/>
      </w:pPr>
      <w:r>
        <w:rPr>
          <w:rFonts w:ascii="Calibri" w:hAnsi="Calibri"/>
          <w:b w:val="0"/>
          <w:i w:val="0"/>
          <w:sz w:val="21"/>
        </w:rPr>
        <w:t>Has submitted custom findings; reporting is clean.</w:t>
      </w:r>
    </w:p>
    <w:p>
      <w:pPr>
        <w:pStyle w:val="ListBullet"/>
        <w:spacing w:after="40"/>
      </w:pPr>
      <w:r>
        <w:rPr>
          <w:rFonts w:ascii="Calibri" w:hAnsi="Calibri"/>
          <w:b w:val="0"/>
          <w:i w:val="0"/>
          <w:sz w:val="21"/>
        </w:rPr>
        <w:t>Data team reviews vulnerability types, severity, and frequency.</w:t>
      </w:r>
    </w:p>
    <w:p>
      <w:pPr>
        <w:pStyle w:val="ListBullet"/>
        <w:spacing w:after="40"/>
      </w:pPr>
      <w:r>
        <w:rPr>
          <w:rFonts w:ascii="Calibri" w:hAnsi="Calibri"/>
          <w:b w:val="0"/>
          <w:i w:val="0"/>
          <w:sz w:val="21"/>
        </w:rPr>
        <w:t>Great client and team communication.</w:t>
      </w:r>
    </w:p>
    <w:p>
      <w:pPr>
        <w:pStyle w:val="ListBullet"/>
        <w:spacing w:after="40"/>
      </w:pPr>
      <w:r>
        <w:rPr>
          <w:rFonts w:ascii="Calibri" w:hAnsi="Calibri"/>
          <w:b w:val="0"/>
          <w:i w:val="0"/>
          <w:sz w:val="21"/>
        </w:rPr>
        <w:t>Contributes technical content and talks; an ambassador of Cobalt Core.</w:t>
      </w:r>
    </w:p>
    <w:p>
      <w:pPr>
        <w:pStyle w:val="ListBullet"/>
        <w:spacing w:after="40"/>
      </w:pPr>
      <w:r>
        <w:rPr>
          <w:rFonts w:ascii="Calibri" w:hAnsi="Calibri"/>
          <w:b w:val="0"/>
          <w:i w:val="0"/>
          <w:sz w:val="21"/>
        </w:rPr>
        <w:t>Goes above and beyond — proactive communication, consistent positive feedback from clients and TPMs.</w:t>
      </w:r>
    </w:p>
    <w:p>
      <w:pPr>
        <w:pStyle w:val="ListBullet"/>
        <w:spacing w:after="40"/>
      </w:pPr>
      <w:r>
        <w:rPr>
          <w:rFonts w:ascii="Calibri" w:hAnsi="Calibri"/>
          <w:b w:val="0"/>
          <w:i w:val="0"/>
          <w:sz w:val="21"/>
        </w:rPr>
        <w:t>High peer-feedback score.</w:t>
      </w:r>
    </w:p>
    <w:p>
      <w:pPr>
        <w:pStyle w:val="ListBullet"/>
        <w:spacing w:after="40"/>
      </w:pPr>
      <w:r>
        <w:rPr>
          <w:rFonts w:ascii="Calibri" w:hAnsi="Calibri"/>
          <w:b w:val="0"/>
          <w:i w:val="0"/>
          <w:sz w:val="21"/>
        </w:rPr>
        <w:t>Must upload ALL logs.</w:t>
      </w:r>
    </w:p>
    <w:p>
      <w:pPr>
        <w:pStyle w:val="ListBullet"/>
        <w:spacing w:after="40"/>
      </w:pPr>
      <w:r>
        <w:rPr>
          <w:rFonts w:ascii="Calibri" w:hAnsi="Calibri"/>
          <w:b w:val="0"/>
          <w:i w:val="0"/>
          <w:sz w:val="21"/>
        </w:rPr>
        <w:t>4 years with the Core.</w:t>
      </w:r>
    </w:p>
    <w:p>
      <w:pPr>
        <w:spacing w:before="200" w:after="60"/>
      </w:pPr>
      <w:r>
        <w:rPr>
          <w:rFonts w:ascii="Calibri" w:hAnsi="Calibri"/>
          <w:b/>
          <w:i w:val="0"/>
          <w:color w:val="0B1F3A"/>
          <w:sz w:val="26"/>
        </w:rPr>
        <w:t>Hiring — Specialist / Expert Profile</w:t>
      </w:r>
    </w:p>
    <w:p>
      <w:pPr>
        <w:pStyle w:val="ListBullet"/>
        <w:spacing w:after="40"/>
      </w:pPr>
      <w:r>
        <w:rPr>
          <w:rFonts w:ascii="Calibri" w:hAnsi="Calibri"/>
          <w:b w:val="0"/>
          <w:i w:val="0"/>
          <w:sz w:val="21"/>
        </w:rPr>
        <w:t>6–8 years of professional pentesting experience.</w:t>
      </w:r>
    </w:p>
    <w:p>
      <w:pPr>
        <w:pStyle w:val="ListBullet"/>
        <w:spacing w:after="40"/>
      </w:pPr>
      <w:r>
        <w:rPr>
          <w:rFonts w:ascii="Calibri" w:hAnsi="Calibri"/>
          <w:b w:val="0"/>
          <w:i w:val="0"/>
          <w:sz w:val="21"/>
        </w:rPr>
        <w:t>Completes at least 8 tests a year.</w:t>
      </w:r>
    </w:p>
    <w:p>
      <w:pPr>
        <w:pStyle w:val="ListBullet"/>
        <w:spacing w:after="40"/>
      </w:pPr>
      <w:r>
        <w:rPr>
          <w:rFonts w:ascii="Calibri" w:hAnsi="Calibri"/>
          <w:b w:val="0"/>
          <w:i w:val="0"/>
          <w:sz w:val="21"/>
        </w:rPr>
        <w:t>Possible exploit-bounty program participation.</w:t>
      </w:r>
    </w:p>
    <w:p>
      <w:pPr>
        <w:pStyle w:val="ListBullet"/>
        <w:spacing w:after="40"/>
      </w:pPr>
      <w:r>
        <w:rPr>
          <w:rFonts w:ascii="Calibri" w:hAnsi="Calibri"/>
          <w:b w:val="0"/>
          <w:i w:val="0"/>
          <w:sz w:val="21"/>
        </w:rPr>
        <w:t>Operates at max capacity with a queue (q-in / q-out).</w:t>
      </w:r>
    </w:p>
    <w:p>
      <w:pPr>
        <w:spacing w:before="140" w:after="40"/>
      </w:pPr>
      <w:r>
        <w:rPr>
          <w:rFonts w:ascii="Calibri" w:hAnsi="Calibri"/>
          <w:b/>
          <w:i w:val="0"/>
          <w:color w:val="16829B"/>
          <w:sz w:val="23"/>
        </w:rPr>
        <w:t>Community Engagement (required)</w:t>
      </w:r>
    </w:p>
    <w:p>
      <w:pPr>
        <w:pStyle w:val="ListBullet"/>
        <w:spacing w:after="40"/>
      </w:pPr>
      <w:r>
        <w:rPr>
          <w:rFonts w:ascii="Calibri" w:hAnsi="Calibri"/>
          <w:b w:val="0"/>
          <w:i w:val="0"/>
          <w:sz w:val="21"/>
        </w:rPr>
        <w:t>Submits peer and pentest feedback after every test.</w:t>
      </w:r>
    </w:p>
    <w:p>
      <w:pPr>
        <w:pStyle w:val="ListBullet"/>
        <w:spacing w:after="40"/>
      </w:pPr>
      <w:r>
        <w:rPr>
          <w:rFonts w:ascii="Calibri" w:hAnsi="Calibri"/>
          <w:b w:val="0"/>
          <w:i w:val="0"/>
          <w:sz w:val="21"/>
        </w:rPr>
        <w:t>Actively provides feedback to Cobalt on application improvements, surveys, attends office hours.</w:t>
      </w:r>
    </w:p>
    <w:p>
      <w:pPr>
        <w:pStyle w:val="ListBullet"/>
        <w:spacing w:after="40"/>
      </w:pPr>
      <w:r>
        <w:rPr>
          <w:rFonts w:ascii="Calibri" w:hAnsi="Calibri"/>
          <w:b w:val="0"/>
          <w:i w:val="0"/>
          <w:sz w:val="21"/>
        </w:rPr>
        <w:t>Has produced or can contribute content to Cobalt.</w:t>
      </w:r>
    </w:p>
    <w:p>
      <w:pPr>
        <w:spacing w:before="140" w:after="40"/>
      </w:pPr>
      <w:r>
        <w:rPr>
          <w:rFonts w:ascii="Calibri" w:hAnsi="Calibri"/>
          <w:b/>
          <w:i w:val="0"/>
          <w:color w:val="16829B"/>
          <w:sz w:val="23"/>
        </w:rPr>
        <w:t>Funding &amp; Customer-Lens Questions (open)</w:t>
      </w:r>
    </w:p>
    <w:p>
      <w:pPr>
        <w:pStyle w:val="ListBullet"/>
        <w:spacing w:after="40"/>
      </w:pPr>
      <w:r>
        <w:rPr>
          <w:rFonts w:ascii="Calibri" w:hAnsi="Calibri"/>
          <w:b w:val="0"/>
          <w:i w:val="0"/>
          <w:sz w:val="21"/>
        </w:rPr>
        <w:t>What does this pipeline look like? Does a client ask for this? Who pays for it? How do we fund the role?</w:t>
      </w:r>
    </w:p>
    <w:p>
      <w:pPr>
        <w:pStyle w:val="ListBullet"/>
        <w:spacing w:after="40"/>
      </w:pPr>
      <w:r>
        <w:rPr>
          <w:rFonts w:ascii="Calibri" w:hAnsi="Calibri"/>
          <w:b w:val="0"/>
          <w:i w:val="0"/>
          <w:sz w:val="21"/>
        </w:rPr>
        <w:t>As a pentest partner we bring in an elite/expert — so WE need to bring them in.</w:t>
      </w:r>
    </w:p>
    <w:p>
      <w:pPr>
        <w:pStyle w:val="ListBullet"/>
        <w:spacing w:after="40"/>
      </w:pPr>
      <w:r>
        <w:rPr>
          <w:rFonts w:ascii="Calibri" w:hAnsi="Calibri"/>
          <w:b w:val="0"/>
          <w:i w:val="0"/>
          <w:sz w:val="21"/>
        </w:rPr>
        <w:t>Validate, through the customer lens, how these people are the best.</w:t>
      </w:r>
    </w:p>
    <w:p>
      <w:pPr>
        <w:pStyle w:val="ListBullet"/>
        <w:spacing w:after="40"/>
      </w:pPr>
      <w:r>
        <w:rPr>
          <w:rFonts w:ascii="Calibri" w:hAnsi="Calibri"/>
          <w:b w:val="0"/>
          <w:i w:val="0"/>
          <w:sz w:val="21"/>
        </w:rPr>
        <w:t>More On-Demand — brought in to “clean up.”</w:t>
      </w:r>
    </w:p>
    <w:p>
      <w:pPr>
        <w:pStyle w:val="ListBullet"/>
        <w:spacing w:after="40"/>
      </w:pPr>
      <w:r>
        <w:rPr>
          <w:rFonts w:ascii="Calibri" w:hAnsi="Calibri"/>
          <w:b w:val="0"/>
          <w:i w:val="0"/>
          <w:sz w:val="21"/>
        </w:rPr>
        <w:t>True top-1% folks brought in to hit the specialty hard (skills matrix).</w:t>
      </w:r>
    </w:p>
    <w:p>
      <w:pPr>
        <w:spacing w:before="140" w:after="40"/>
      </w:pPr>
      <w:r>
        <w:rPr>
          <w:rFonts w:ascii="Calibri" w:hAnsi="Calibri"/>
          <w:b/>
          <w:i w:val="0"/>
          <w:color w:val="16829B"/>
          <w:sz w:val="23"/>
        </w:rPr>
        <w:t>External Validation (public knowledge)</w:t>
      </w:r>
    </w:p>
    <w:p>
      <w:pPr>
        <w:pStyle w:val="ListBullet"/>
        <w:spacing w:after="40"/>
      </w:pPr>
      <w:r>
        <w:rPr>
          <w:rFonts w:ascii="Calibri" w:hAnsi="Calibri"/>
          <w:b w:val="0"/>
          <w:i w:val="0"/>
          <w:sz w:val="21"/>
        </w:rPr>
        <w:t>Regular presenter at Tier 2's.</w:t>
      </w:r>
    </w:p>
    <w:p>
      <w:pPr>
        <w:pStyle w:val="ListBullet"/>
        <w:spacing w:after="40"/>
      </w:pPr>
      <w:r>
        <w:rPr>
          <w:rFonts w:ascii="Calibri" w:hAnsi="Calibri"/>
          <w:b w:val="0"/>
          <w:i w:val="0"/>
          <w:sz w:val="21"/>
        </w:rPr>
        <w:t>Books, papers, and blogs to validate.</w:t>
      </w:r>
    </w:p>
    <w:p>
      <w:pPr>
        <w:pStyle w:val="ListBullet"/>
        <w:spacing w:after="40"/>
      </w:pPr>
      <w:r>
        <w:rPr>
          <w:rFonts w:ascii="Calibri" w:hAnsi="Calibri"/>
          <w:b w:val="0"/>
          <w:i w:val="0"/>
          <w:sz w:val="21"/>
        </w:rPr>
        <w:t>Websites; has written tools.</w:t>
      </w:r>
    </w:p>
    <w:p>
      <w:pPr>
        <w:pStyle w:val="ListBullet"/>
        <w:spacing w:after="40"/>
      </w:pPr>
      <w:r>
        <w:rPr>
          <w:rFonts w:ascii="Calibri" w:hAnsi="Calibri"/>
          <w:b w:val="0"/>
          <w:i w:val="0"/>
          <w:sz w:val="21"/>
        </w:rPr>
        <w:t>Active participation in local or international infosec clubs and conferences.</w:t>
      </w:r>
    </w:p>
    <w:p>
      <w:pPr>
        <w:pStyle w:val="ListBullet"/>
        <w:spacing w:after="40"/>
      </w:pPr>
      <w:r>
        <w:rPr>
          <w:rFonts w:ascii="Calibri" w:hAnsi="Calibri"/>
          <w:b w:val="0"/>
          <w:i w:val="0"/>
          <w:sz w:val="21"/>
        </w:rPr>
        <w:t>Must be publicly referenceable — no pseudonym or alias.</w:t>
      </w:r>
    </w:p>
    <w:p>
      <w:pPr>
        <w:pStyle w:val="ListBullet"/>
        <w:spacing w:after="40"/>
      </w:pPr>
      <w:r>
        <w:rPr>
          <w:rFonts w:ascii="Calibri" w:hAnsi="Calibri"/>
          <w:b w:val="0"/>
          <w:i w:val="0"/>
          <w:sz w:val="21"/>
        </w:rPr>
        <w:t>Specializes in a clear niche (the “Goldilocks” fit): Exploit Dev, SQLi, WAF, EDR bypasses, etc.</w:t>
      </w:r>
    </w:p>
    <w:p>
      <w:r>
        <w:br w:type="page"/>
      </w:r>
    </w:p>
    <w:p>
      <w:pPr>
        <w:spacing w:before="320" w:after="80"/>
        <w:pBdr>
          <w:bottom w:val="single" w:sz="10" w:space="4" w:color="1A4DB3"/>
        </w:pBdr>
      </w:pPr>
      <w:r>
        <w:rPr>
          <w:rFonts w:ascii="Calibri" w:hAnsi="Calibri"/>
          <w:b/>
          <w:i w:val="0"/>
          <w:color w:val="1A4DB3"/>
          <w:sz w:val="32"/>
        </w:rPr>
        <w:t>7. Process: Transition to the Tiering System</w:t>
      </w:r>
    </w:p>
    <w:p>
      <w:pPr>
        <w:spacing w:after="120"/>
      </w:pPr>
      <w:r>
        <w:rPr>
          <w:rFonts w:ascii="Calibri" w:hAnsi="Calibri"/>
          <w:b w:val="0"/>
          <w:i w:val="0"/>
          <w:sz w:val="21"/>
        </w:rPr>
        <w:t>We adopt a dual-track approach: a high-speed, needs-based process for the initial influx to quickly meet demand, followed by a more structured and comprehensive system for long-term, sustainable growth and quality control.</w:t>
      </w:r>
    </w:p>
    <w:p>
      <w:pPr>
        <w:spacing w:before="200" w:after="60"/>
      </w:pPr>
      <w:r>
        <w:rPr>
          <w:rFonts w:ascii="Calibri" w:hAnsi="Calibri"/>
          <w:b/>
          <w:i w:val="0"/>
          <w:color w:val="0B1F3A"/>
          <w:sz w:val="26"/>
        </w:rPr>
        <w:t>Wave 1 — High-Velocity Integration</w:t>
      </w:r>
    </w:p>
    <w:p>
      <w:pPr>
        <w:spacing w:after="120"/>
      </w:pPr>
      <w:r>
        <w:rPr>
          <w:rFonts w:ascii="Calibri" w:hAnsi="Calibri"/>
          <w:b w:val="0"/>
          <w:i w:val="0"/>
          <w:sz w:val="21"/>
        </w:rPr>
        <w:t>For the initial cohort, standard comprehensive tiering requirements can be temporarily relaxed. The priority is speed and immediate operational readiness:</w:t>
      </w:r>
    </w:p>
    <w:p>
      <w:pPr>
        <w:pStyle w:val="ListBullet"/>
        <w:spacing w:after="40"/>
      </w:pPr>
      <w:r>
        <w:rPr>
          <w:rFonts w:ascii="Calibri" w:hAnsi="Calibri"/>
          <w:b/>
          <w:i w:val="0"/>
          <w:sz w:val="21"/>
        </w:rPr>
        <w:t xml:space="preserve">Algorithmic filter: </w:t>
      </w:r>
      <w:r>
        <w:rPr>
          <w:rFonts w:ascii="Calibri" w:hAnsi="Calibri"/>
          <w:b w:val="0"/>
          <w:i w:val="0"/>
          <w:sz w:val="21"/>
        </w:rPr>
        <w:t>Develop a high-level algorithmic filter focused only on the most critical, non-negotiable skills and compliance checks (e.g., minimum years of experience, essential certifications like OSCP, relevant professional history).</w:t>
      </w:r>
    </w:p>
    <w:p>
      <w:pPr>
        <w:pStyle w:val="ListBullet"/>
        <w:spacing w:after="40"/>
      </w:pPr>
      <w:r>
        <w:rPr>
          <w:rFonts w:ascii="Calibri" w:hAnsi="Calibri"/>
          <w:b/>
          <w:i w:val="0"/>
          <w:sz w:val="21"/>
        </w:rPr>
        <w:t xml:space="preserve">Expedited vetting: </w:t>
      </w:r>
      <w:r>
        <w:rPr>
          <w:rFonts w:ascii="Calibri" w:hAnsi="Calibri"/>
          <w:b w:val="0"/>
          <w:i w:val="0"/>
          <w:sz w:val="21"/>
        </w:rPr>
        <w:t>Quick and focused on immediate deployment capability rather than exhaustive review of soft skills or niche competencies.</w:t>
      </w:r>
    </w:p>
    <w:p>
      <w:pPr>
        <w:pStyle w:val="ListBullet"/>
        <w:spacing w:after="40"/>
      </w:pPr>
      <w:r>
        <w:rPr>
          <w:rFonts w:ascii="Calibri" w:hAnsi="Calibri"/>
          <w:b/>
          <w:i w:val="0"/>
          <w:sz w:val="21"/>
        </w:rPr>
        <w:t xml:space="preserve">Temporary tier placement: </w:t>
      </w:r>
      <w:r>
        <w:rPr>
          <w:rFonts w:ascii="Calibri" w:hAnsi="Calibri"/>
          <w:b w:val="0"/>
          <w:i w:val="0"/>
          <w:sz w:val="21"/>
        </w:rPr>
        <w:t>Onboarded testers receive a tier reflecting their fast-tracked status, allowing immediate contribution while deferring full requirements for a permanent, higher tier.</w:t>
      </w:r>
    </w:p>
    <w:p>
      <w:pPr>
        <w:spacing w:before="200" w:after="60"/>
      </w:pPr>
      <w:r>
        <w:rPr>
          <w:rFonts w:ascii="Calibri" w:hAnsi="Calibri"/>
          <w:b/>
          <w:i w:val="0"/>
          <w:color w:val="0B1F3A"/>
          <w:sz w:val="26"/>
        </w:rPr>
        <w:t>Recurring &amp; Long-Term Strategy</w:t>
      </w:r>
    </w:p>
    <w:p>
      <w:pPr>
        <w:pStyle w:val="ListBullet"/>
        <w:spacing w:after="40"/>
      </w:pPr>
      <w:r>
        <w:rPr>
          <w:rFonts w:ascii="Calibri" w:hAnsi="Calibri"/>
          <w:b/>
          <w:i w:val="0"/>
          <w:sz w:val="21"/>
        </w:rPr>
        <w:t xml:space="preserve">Meet all established requirements: </w:t>
      </w:r>
      <w:r>
        <w:rPr>
          <w:rFonts w:ascii="Calibri" w:hAnsi="Calibri"/>
          <w:b w:val="0"/>
          <w:i w:val="0"/>
          <w:sz w:val="21"/>
        </w:rPr>
        <w:t>Future hires evaluated against the complete criteria for each tier (Junior, Mid, Senior, Lead): technical expertise, report-writing quality, communication, project management, and domain knowledge.</w:t>
      </w:r>
    </w:p>
    <w:p>
      <w:pPr>
        <w:pStyle w:val="ListBullet"/>
        <w:spacing w:after="40"/>
      </w:pPr>
      <w:r>
        <w:rPr>
          <w:rFonts w:ascii="Calibri" w:hAnsi="Calibri"/>
          <w:b/>
          <w:i w:val="0"/>
          <w:sz w:val="21"/>
        </w:rPr>
        <w:t xml:space="preserve">Standardized progression: </w:t>
      </w:r>
      <w:r>
        <w:rPr>
          <w:rFonts w:ascii="Calibri" w:hAnsi="Calibri"/>
          <w:b w:val="0"/>
          <w:i w:val="0"/>
          <w:sz w:val="21"/>
        </w:rPr>
        <w:t>A clear, defined pathway for professional growth and tier advancement, ensuring fairness and transparency.</w:t>
      </w:r>
    </w:p>
    <w:p>
      <w:pPr>
        <w:pStyle w:val="ListBullet"/>
        <w:spacing w:after="40"/>
      </w:pPr>
      <w:r>
        <w:rPr>
          <w:rFonts w:ascii="Calibri" w:hAnsi="Calibri"/>
          <w:b/>
          <w:i w:val="0"/>
          <w:sz w:val="21"/>
        </w:rPr>
        <w:t xml:space="preserve">Regular recalibration: </w:t>
      </w:r>
      <w:r>
        <w:rPr>
          <w:rFonts w:ascii="Calibri" w:hAnsi="Calibri"/>
          <w:b w:val="0"/>
          <w:i w:val="0"/>
          <w:sz w:val="21"/>
        </w:rPr>
        <w:t>The tiering structure and evaluation metrics are reviewed and updated to align with the evolving threat landscape and business needs.</w:t>
      </w:r>
    </w:p>
    <w:p>
      <w:pPr>
        <w:spacing w:before="200" w:after="60"/>
      </w:pPr>
      <w:r>
        <w:rPr>
          <w:rFonts w:ascii="Calibri" w:hAnsi="Calibri"/>
          <w:b/>
          <w:i w:val="0"/>
          <w:color w:val="0B1F3A"/>
          <w:sz w:val="26"/>
        </w:rPr>
        <w:t>Data-Driven Determination</w:t>
      </w:r>
    </w:p>
    <w:p>
      <w:pPr>
        <w:pStyle w:val="ListBullet"/>
        <w:spacing w:after="40"/>
      </w:pPr>
      <w:r>
        <w:rPr>
          <w:rFonts w:ascii="Calibri" w:hAnsi="Calibri"/>
          <w:b w:val="0"/>
          <w:i w:val="0"/>
          <w:sz w:val="21"/>
        </w:rPr>
        <w:t>Evaluate the tester's historical reports, findings, communication, and technical skills.</w:t>
      </w:r>
    </w:p>
    <w:p>
      <w:pPr>
        <w:pStyle w:val="ListBullet"/>
        <w:spacing w:after="40"/>
      </w:pPr>
      <w:r>
        <w:rPr>
          <w:rFonts w:ascii="Calibri" w:hAnsi="Calibri"/>
          <w:b w:val="0"/>
          <w:i w:val="0"/>
          <w:sz w:val="21"/>
        </w:rPr>
        <w:t>Review the last 3–5 engagements; the tester must complete at least 5 engagements a year.</w:t>
      </w:r>
    </w:p>
    <w:p>
      <w:pPr>
        <w:pStyle w:val="ListBullet"/>
        <w:spacing w:after="40"/>
      </w:pPr>
      <w:r>
        <w:rPr>
          <w:rFonts w:ascii="Calibri" w:hAnsi="Calibri"/>
          <w:b w:val="0"/>
          <w:i w:val="0"/>
          <w:sz w:val="21"/>
        </w:rPr>
        <w:t>Specialty vetting: initially via HackTheBox, transitioning to Cobalt custom labs and OffSec custom tracks. The Research team interviews and reviews the tester's logs for any promotion request.</w:t>
      </w:r>
    </w:p>
    <w:p>
      <w:pPr>
        <w:pStyle w:val="ListBullet"/>
        <w:spacing w:after="40"/>
      </w:pPr>
      <w:r>
        <w:rPr>
          <w:rFonts w:ascii="Calibri" w:hAnsi="Calibri"/>
          <w:b w:val="0"/>
          <w:i w:val="0"/>
          <w:sz w:val="21"/>
        </w:rPr>
        <w:t>Cadence: testers can only be evaluated for promotion biannually, per the review cadence.</w:t>
      </w:r>
    </w:p>
    <w:p>
      <w:pPr>
        <w:spacing w:before="140" w:after="40"/>
      </w:pPr>
      <w:r>
        <w:rPr>
          <w:rFonts w:ascii="Calibri" w:hAnsi="Calibri"/>
          <w:b/>
          <w:i w:val="0"/>
          <w:color w:val="16829B"/>
          <w:sz w:val="23"/>
        </w:rPr>
        <w:t>Evaluation Criteria</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0B1F3A"/>
            <w:tcMar>
              <w:top w:w="60" w:type="dxa"/>
              <w:bottom w:w="60" w:type="dxa"/>
              <w:start w:w="100" w:type="dxa"/>
              <w:end w:w="100" w:type="dxa"/>
            </w:tcMar>
          </w:tcPr>
          <w:p>
            <w:r/>
            <w:r>
              <w:rPr>
                <w:rFonts w:ascii="Calibri" w:hAnsi="Calibri"/>
                <w:b/>
                <w:i w:val="0"/>
                <w:color w:val="FFFFFF"/>
                <w:sz w:val="19"/>
              </w:rPr>
              <w:t>Criterion</w:t>
            </w:r>
          </w:p>
        </w:tc>
        <w:tc>
          <w:tcPr>
            <w:tcW w:type="dxa" w:w="7200"/>
            <w:shd w:val="clear" w:color="auto" w:fill="0B1F3A"/>
            <w:tcMar>
              <w:top w:w="60" w:type="dxa"/>
              <w:bottom w:w="60" w:type="dxa"/>
              <w:start w:w="100" w:type="dxa"/>
              <w:end w:w="100" w:type="dxa"/>
            </w:tcMar>
          </w:tcPr>
          <w:p>
            <w:r/>
            <w:r>
              <w:rPr>
                <w:rFonts w:ascii="Calibri" w:hAnsi="Calibri"/>
                <w:b/>
                <w:i w:val="0"/>
                <w:color w:val="FFFFFF"/>
                <w:sz w:val="19"/>
              </w:rPr>
              <w:t>What it measures</w:t>
            </w:r>
          </w:p>
        </w:tc>
      </w:tr>
      <w:tr>
        <w:tc>
          <w:tcPr>
            <w:tcW w:type="dxa" w:w="3168"/>
            <w:tcMar>
              <w:top w:w="60" w:type="dxa"/>
              <w:bottom w:w="60" w:type="dxa"/>
              <w:start w:w="100" w:type="dxa"/>
              <w:end w:w="100" w:type="dxa"/>
            </w:tcMar>
            <w:shd w:val="clear" w:color="auto" w:fill="F4F7FC"/>
          </w:tcPr>
          <w:p>
            <w:pPr>
              <w:spacing w:after="0"/>
            </w:pPr>
            <w:r/>
            <w:r>
              <w:rPr>
                <w:rFonts w:ascii="Calibri" w:hAnsi="Calibri"/>
                <w:b/>
                <w:i w:val="0"/>
                <w:sz w:val="19"/>
              </w:rPr>
              <w:t>Exploit sophistication</w:t>
            </w:r>
          </w:p>
        </w:tc>
        <w:tc>
          <w:tcPr>
            <w:tcW w:type="dxa" w:w="7200"/>
            <w:tcMar>
              <w:top w:w="60" w:type="dxa"/>
              <w:bottom w:w="60" w:type="dxa"/>
              <w:start w:w="100" w:type="dxa"/>
              <w:end w:w="100" w:type="dxa"/>
            </w:tcMar>
            <w:shd w:val="clear" w:color="auto" w:fill="F4F7FC"/>
          </w:tcPr>
          <w:p>
            <w:pPr>
              <w:spacing w:after="0"/>
            </w:pPr>
            <w:r/>
            <w:r>
              <w:rPr>
                <w:rFonts w:ascii="Calibri" w:hAnsi="Calibri"/>
                <w:b w:val="0"/>
                <w:i w:val="0"/>
                <w:sz w:val="19"/>
              </w:rPr>
              <w:t>Depth and novelty of exploitation beyond automated findings</w:t>
            </w:r>
          </w:p>
        </w:tc>
      </w:tr>
      <w:tr>
        <w:tc>
          <w:tcPr>
            <w:tcW w:type="dxa" w:w="3168"/>
            <w:tcMar>
              <w:top w:w="60" w:type="dxa"/>
              <w:bottom w:w="60" w:type="dxa"/>
              <w:start w:w="100" w:type="dxa"/>
              <w:end w:w="100" w:type="dxa"/>
            </w:tcMar>
          </w:tcPr>
          <w:p>
            <w:pPr>
              <w:spacing w:after="0"/>
            </w:pPr>
            <w:r/>
            <w:r>
              <w:rPr>
                <w:rFonts w:ascii="Calibri" w:hAnsi="Calibri"/>
                <w:b/>
                <w:i w:val="0"/>
                <w:sz w:val="19"/>
              </w:rPr>
              <w:t>Chaining capability</w:t>
            </w:r>
          </w:p>
        </w:tc>
        <w:tc>
          <w:tcPr>
            <w:tcW w:type="dxa" w:w="7200"/>
            <w:tcMar>
              <w:top w:w="60" w:type="dxa"/>
              <w:bottom w:w="60" w:type="dxa"/>
              <w:start w:w="100" w:type="dxa"/>
              <w:end w:w="100" w:type="dxa"/>
            </w:tcMar>
          </w:tcPr>
          <w:p>
            <w:pPr>
              <w:spacing w:after="0"/>
            </w:pPr>
            <w:r/>
            <w:r>
              <w:rPr>
                <w:rFonts w:ascii="Calibri" w:hAnsi="Calibri"/>
                <w:b w:val="0"/>
                <w:i w:val="0"/>
                <w:sz w:val="19"/>
              </w:rPr>
              <w:t>Combining multiple flaws into higher-impact attack paths</w:t>
            </w:r>
          </w:p>
        </w:tc>
      </w:tr>
      <w:tr>
        <w:tc>
          <w:tcPr>
            <w:tcW w:type="dxa" w:w="3168"/>
            <w:tcMar>
              <w:top w:w="60" w:type="dxa"/>
              <w:bottom w:w="60" w:type="dxa"/>
              <w:start w:w="100" w:type="dxa"/>
              <w:end w:w="100" w:type="dxa"/>
            </w:tcMar>
            <w:shd w:val="clear" w:color="auto" w:fill="F4F7FC"/>
          </w:tcPr>
          <w:p>
            <w:pPr>
              <w:spacing w:after="0"/>
            </w:pPr>
            <w:r/>
            <w:r>
              <w:rPr>
                <w:rFonts w:ascii="Calibri" w:hAnsi="Calibri"/>
                <w:b/>
                <w:i w:val="0"/>
                <w:sz w:val="19"/>
              </w:rPr>
              <w:t>Exploit velocity</w:t>
            </w:r>
          </w:p>
        </w:tc>
        <w:tc>
          <w:tcPr>
            <w:tcW w:type="dxa" w:w="7200"/>
            <w:tcMar>
              <w:top w:w="60" w:type="dxa"/>
              <w:bottom w:w="60" w:type="dxa"/>
              <w:start w:w="100" w:type="dxa"/>
              <w:end w:w="100" w:type="dxa"/>
            </w:tcMar>
            <w:shd w:val="clear" w:color="auto" w:fill="F4F7FC"/>
          </w:tcPr>
          <w:p>
            <w:pPr>
              <w:spacing w:after="0"/>
            </w:pPr>
            <w:r/>
            <w:r>
              <w:rPr>
                <w:rFonts w:ascii="Calibri" w:hAnsi="Calibri"/>
                <w:b w:val="0"/>
                <w:i w:val="0"/>
                <w:sz w:val="19"/>
              </w:rPr>
              <w:t>Time to achieve meaningful, verified impact</w:t>
            </w:r>
          </w:p>
        </w:tc>
      </w:tr>
      <w:tr>
        <w:tc>
          <w:tcPr>
            <w:tcW w:type="dxa" w:w="3168"/>
            <w:tcMar>
              <w:top w:w="60" w:type="dxa"/>
              <w:bottom w:w="60" w:type="dxa"/>
              <w:start w:w="100" w:type="dxa"/>
              <w:end w:w="100" w:type="dxa"/>
            </w:tcMar>
          </w:tcPr>
          <w:p>
            <w:pPr>
              <w:spacing w:after="0"/>
            </w:pPr>
            <w:r/>
            <w:r>
              <w:rPr>
                <w:rFonts w:ascii="Calibri" w:hAnsi="Calibri"/>
                <w:b/>
                <w:i w:val="0"/>
                <w:sz w:val="19"/>
              </w:rPr>
              <w:t>QA rework rate</w:t>
            </w:r>
          </w:p>
        </w:tc>
        <w:tc>
          <w:tcPr>
            <w:tcW w:type="dxa" w:w="7200"/>
            <w:tcMar>
              <w:top w:w="60" w:type="dxa"/>
              <w:bottom w:w="60" w:type="dxa"/>
              <w:start w:w="100" w:type="dxa"/>
              <w:end w:w="100" w:type="dxa"/>
            </w:tcMar>
          </w:tcPr>
          <w:p>
            <w:pPr>
              <w:spacing w:after="0"/>
            </w:pPr>
            <w:r/>
            <w:r>
              <w:rPr>
                <w:rFonts w:ascii="Calibri" w:hAnsi="Calibri"/>
                <w:b w:val="0"/>
                <w:i w:val="0"/>
                <w:sz w:val="19"/>
              </w:rPr>
              <w:t>Frequency of corrections required during quality assurance</w:t>
            </w:r>
          </w:p>
        </w:tc>
      </w:tr>
      <w:tr>
        <w:tc>
          <w:tcPr>
            <w:tcW w:type="dxa" w:w="3168"/>
            <w:tcMar>
              <w:top w:w="60" w:type="dxa"/>
              <w:bottom w:w="60" w:type="dxa"/>
              <w:start w:w="100" w:type="dxa"/>
              <w:end w:w="100" w:type="dxa"/>
            </w:tcMar>
            <w:shd w:val="clear" w:color="auto" w:fill="F4F7FC"/>
          </w:tcPr>
          <w:p>
            <w:pPr>
              <w:spacing w:after="0"/>
            </w:pPr>
            <w:r/>
            <w:r>
              <w:rPr>
                <w:rFonts w:ascii="Calibri" w:hAnsi="Calibri"/>
                <w:b/>
                <w:i w:val="0"/>
                <w:sz w:val="19"/>
              </w:rPr>
              <w:t>Severity stability</w:t>
            </w:r>
          </w:p>
        </w:tc>
        <w:tc>
          <w:tcPr>
            <w:tcW w:type="dxa" w:w="7200"/>
            <w:tcMar>
              <w:top w:w="60" w:type="dxa"/>
              <w:bottom w:w="60" w:type="dxa"/>
              <w:start w:w="100" w:type="dxa"/>
              <w:end w:w="100" w:type="dxa"/>
            </w:tcMar>
            <w:shd w:val="clear" w:color="auto" w:fill="F4F7FC"/>
          </w:tcPr>
          <w:p>
            <w:pPr>
              <w:spacing w:after="0"/>
            </w:pPr>
            <w:r/>
            <w:r>
              <w:rPr>
                <w:rFonts w:ascii="Calibri" w:hAnsi="Calibri"/>
                <w:b w:val="0"/>
                <w:i w:val="0"/>
                <w:sz w:val="19"/>
              </w:rPr>
              <w:t>Consistency / accuracy of severity ratings (low adjustment)</w:t>
            </w:r>
          </w:p>
        </w:tc>
      </w:tr>
      <w:tr>
        <w:tc>
          <w:tcPr>
            <w:tcW w:type="dxa" w:w="3168"/>
            <w:tcMar>
              <w:top w:w="60" w:type="dxa"/>
              <w:bottom w:w="60" w:type="dxa"/>
              <w:start w:w="100" w:type="dxa"/>
              <w:end w:w="100" w:type="dxa"/>
            </w:tcMar>
          </w:tcPr>
          <w:p>
            <w:pPr>
              <w:spacing w:after="0"/>
            </w:pPr>
            <w:r/>
            <w:r>
              <w:rPr>
                <w:rFonts w:ascii="Calibri" w:hAnsi="Calibri"/>
                <w:b/>
                <w:i w:val="0"/>
                <w:sz w:val="19"/>
              </w:rPr>
              <w:t>Reporting clarity</w:t>
            </w:r>
          </w:p>
        </w:tc>
        <w:tc>
          <w:tcPr>
            <w:tcW w:type="dxa" w:w="7200"/>
            <w:tcMar>
              <w:top w:w="60" w:type="dxa"/>
              <w:bottom w:w="60" w:type="dxa"/>
              <w:start w:w="100" w:type="dxa"/>
              <w:end w:w="100" w:type="dxa"/>
            </w:tcMar>
          </w:tcPr>
          <w:p>
            <w:pPr>
              <w:spacing w:after="0"/>
            </w:pPr>
            <w:r/>
            <w:r>
              <w:rPr>
                <w:rFonts w:ascii="Calibri" w:hAnsi="Calibri"/>
                <w:b w:val="0"/>
                <w:i w:val="0"/>
                <w:sz w:val="19"/>
              </w:rPr>
              <w:t>Clear, actionable, well-reasoned technical reporting</w:t>
            </w:r>
          </w:p>
        </w:tc>
      </w:tr>
      <w:tr>
        <w:tc>
          <w:tcPr>
            <w:tcW w:type="dxa" w:w="3168"/>
            <w:tcMar>
              <w:top w:w="60" w:type="dxa"/>
              <w:bottom w:w="60" w:type="dxa"/>
              <w:start w:w="100" w:type="dxa"/>
              <w:end w:w="100" w:type="dxa"/>
            </w:tcMar>
            <w:shd w:val="clear" w:color="auto" w:fill="F4F7FC"/>
          </w:tcPr>
          <w:p>
            <w:pPr>
              <w:spacing w:after="0"/>
            </w:pPr>
            <w:r/>
            <w:r>
              <w:rPr>
                <w:rFonts w:ascii="Calibri" w:hAnsi="Calibri"/>
                <w:b/>
                <w:i w:val="0"/>
                <w:sz w:val="19"/>
              </w:rPr>
              <w:t>SLA discipline</w:t>
            </w:r>
          </w:p>
        </w:tc>
        <w:tc>
          <w:tcPr>
            <w:tcW w:type="dxa" w:w="7200"/>
            <w:tcMar>
              <w:top w:w="60" w:type="dxa"/>
              <w:bottom w:w="60" w:type="dxa"/>
              <w:start w:w="100" w:type="dxa"/>
              <w:end w:w="100" w:type="dxa"/>
            </w:tcMar>
            <w:shd w:val="clear" w:color="auto" w:fill="F4F7FC"/>
          </w:tcPr>
          <w:p>
            <w:pPr>
              <w:spacing w:after="0"/>
            </w:pPr>
            <w:r/>
            <w:r>
              <w:rPr>
                <w:rFonts w:ascii="Calibri" w:hAnsi="Calibri"/>
                <w:b w:val="0"/>
                <w:i w:val="0"/>
                <w:sz w:val="19"/>
              </w:rPr>
              <w:t>Adherence to timelines and engagement commitments</w:t>
            </w:r>
          </w:p>
        </w:tc>
      </w:tr>
    </w:tbl>
    <w:p>
      <w:pPr>
        <w:spacing w:after="40"/>
      </w:pPr>
    </w:p>
    <w:p>
      <w:pPr>
        <w:spacing w:before="200" w:after="60"/>
      </w:pPr>
      <w:r>
        <w:rPr>
          <w:rFonts w:ascii="Calibri" w:hAnsi="Calibri"/>
          <w:b/>
          <w:i w:val="0"/>
          <w:color w:val="0B1F3A"/>
          <w:sz w:val="26"/>
        </w:rPr>
        <w:t>Initial Tiering (Hard Cut-Off)</w:t>
      </w:r>
    </w:p>
    <w:p>
      <w:pPr>
        <w:pStyle w:val="ListBullet"/>
        <w:spacing w:after="40"/>
      </w:pPr>
      <w:r>
        <w:rPr>
          <w:rFonts w:ascii="Calibri" w:hAnsi="Calibri"/>
          <w:b w:val="0"/>
          <w:i w:val="0"/>
          <w:sz w:val="21"/>
        </w:rPr>
        <w:t>All current testers move to Tier 1.</w:t>
      </w:r>
    </w:p>
    <w:p>
      <w:pPr>
        <w:pStyle w:val="ListBullet"/>
        <w:spacing w:after="40"/>
      </w:pPr>
      <w:r>
        <w:rPr>
          <w:rFonts w:ascii="Calibri" w:hAnsi="Calibri"/>
          <w:b w:val="0"/>
          <w:i w:val="0"/>
          <w:sz w:val="21"/>
        </w:rPr>
        <w:t>Testers with a history of Informational / Low findings remain Tier 1.</w:t>
      </w:r>
    </w:p>
    <w:p>
      <w:pPr>
        <w:pStyle w:val="ListBullet"/>
        <w:spacing w:after="40"/>
      </w:pPr>
      <w:r>
        <w:rPr>
          <w:rFonts w:ascii="Calibri" w:hAnsi="Calibri"/>
          <w:b w:val="0"/>
          <w:i w:val="0"/>
          <w:sz w:val="21"/>
        </w:rPr>
        <w:t>Testers with extensive Lead experience likely qualify for Tier 2 or above.</w:t>
      </w:r>
    </w:p>
    <w:p>
      <w:pPr>
        <w:pStyle w:val="ListBullet"/>
        <w:spacing w:after="40"/>
      </w:pPr>
      <w:r>
        <w:rPr>
          <w:rFonts w:ascii="Calibri" w:hAnsi="Calibri"/>
          <w:b w:val="0"/>
          <w:i w:val="0"/>
          <w:sz w:val="21"/>
        </w:rPr>
        <w:t>Testers with a history of High / Critical findings likely qualify for Tier 2 or above.</w:t>
      </w:r>
    </w:p>
    <w:p>
      <w:pPr>
        <w:pStyle w:val="ListBullet"/>
        <w:spacing w:after="40"/>
      </w:pPr>
      <w:r>
        <w:rPr>
          <w:rFonts w:ascii="Calibri" w:hAnsi="Calibri"/>
          <w:b w:val="0"/>
          <w:i w:val="0"/>
          <w:sz w:val="21"/>
        </w:rPr>
        <w:t>Testers who actively engage, write blog posts, and go above and beyond may qualify for Tier 3 specialties.</w:t>
      </w:r>
    </w:p>
    <w:p>
      <w:pPr>
        <w:pStyle w:val="ListBullet"/>
        <w:spacing w:after="40"/>
      </w:pPr>
      <w:r>
        <w:rPr>
          <w:rFonts w:ascii="Calibri" w:hAnsi="Calibri"/>
          <w:b w:val="0"/>
          <w:i w:val="0"/>
          <w:sz w:val="21"/>
        </w:rPr>
        <w:t>Qualified testers with significant contributions and a proven delivery track record may be automatically vetted into Tier 2.</w:t>
      </w:r>
    </w:p>
    <w:p>
      <w:pPr>
        <w:pStyle w:val="ListBullet"/>
        <w:spacing w:after="40"/>
      </w:pPr>
      <w:r>
        <w:rPr>
          <w:rFonts w:ascii="Calibri" w:hAnsi="Calibri"/>
          <w:b w:val="0"/>
          <w:i w:val="0"/>
          <w:sz w:val="21"/>
        </w:rPr>
        <w:t>Qualified testers with prerequisite technical skills are offered the option to complete an assessment to attain Tier 3 specialties.</w:t>
      </w:r>
    </w:p>
    <w:p>
      <w:r>
        <w:br w:type="page"/>
      </w:r>
    </w:p>
    <w:p>
      <w:pPr>
        <w:spacing w:before="320" w:after="80"/>
        <w:pBdr>
          <w:bottom w:val="single" w:sz="10" w:space="4" w:color="1A4DB3"/>
        </w:pBdr>
      </w:pPr>
      <w:r>
        <w:rPr>
          <w:rFonts w:ascii="Calibri" w:hAnsi="Calibri"/>
          <w:b/>
          <w:i w:val="0"/>
          <w:color w:val="1A4DB3"/>
          <w:sz w:val="32"/>
        </w:rPr>
        <w:t>8. Bi-Annual Tiering Structure Recalibration</w:t>
      </w:r>
    </w:p>
    <w:p>
      <w:r>
        <w:rPr>
          <w:rFonts w:ascii="Calibri" w:hAnsi="Calibri"/>
          <w:b/>
          <w:i w:val="0"/>
          <w:sz w:val="21"/>
        </w:rPr>
        <w:t xml:space="preserve">Recalibration owner: </w:t>
      </w:r>
      <w:r>
        <w:rPr>
          <w:rFonts w:ascii="Calibri" w:hAnsi="Calibri"/>
          <w:b w:val="0"/>
          <w:i w:val="0"/>
          <w:sz w:val="21"/>
        </w:rPr>
        <w:t xml:space="preserve">Governance Team / Security Leadership.   </w:t>
      </w:r>
      <w:r>
        <w:rPr>
          <w:rFonts w:ascii="Calibri" w:hAnsi="Calibri"/>
          <w:b/>
          <w:i w:val="0"/>
          <w:sz w:val="21"/>
        </w:rPr>
        <w:t xml:space="preserve">Cadence: </w:t>
      </w:r>
      <w:r>
        <w:rPr>
          <w:rFonts w:ascii="Calibri" w:hAnsi="Calibri"/>
          <w:b w:val="0"/>
          <w:i w:val="0"/>
          <w:sz w:val="21"/>
        </w:rPr>
        <w:t>Bi-annual, aligned with the overall governance and review cycle.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720"/>
            <w:shd w:val="clear" w:color="auto" w:fill="0B1F3A"/>
            <w:tcMar>
              <w:top w:w="60" w:type="dxa"/>
              <w:bottom w:w="60" w:type="dxa"/>
              <w:start w:w="100" w:type="dxa"/>
              <w:end w:w="100" w:type="dxa"/>
            </w:tcMar>
          </w:tcPr>
          <w:p>
            <w:r/>
            <w:r>
              <w:rPr>
                <w:rFonts w:ascii="Calibri" w:hAnsi="Calibri"/>
                <w:b/>
                <w:i w:val="0"/>
                <w:color w:val="FFFFFF"/>
                <w:sz w:val="19"/>
              </w:rPr>
              <w:t>Phase</w:t>
            </w:r>
          </w:p>
        </w:tc>
        <w:tc>
          <w:tcPr>
            <w:tcW w:type="dxa" w:w="2304"/>
            <w:shd w:val="clear" w:color="auto" w:fill="0B1F3A"/>
            <w:tcMar>
              <w:top w:w="60" w:type="dxa"/>
              <w:bottom w:w="60" w:type="dxa"/>
              <w:start w:w="100" w:type="dxa"/>
              <w:end w:w="100" w:type="dxa"/>
            </w:tcMar>
          </w:tcPr>
          <w:p>
            <w:r/>
            <w:r>
              <w:rPr>
                <w:rFonts w:ascii="Calibri" w:hAnsi="Calibri"/>
                <w:b/>
                <w:i w:val="0"/>
                <w:color w:val="FFFFFF"/>
                <w:sz w:val="19"/>
              </w:rPr>
              <w:t>Focus Area</w:t>
            </w:r>
          </w:p>
        </w:tc>
        <w:tc>
          <w:tcPr>
            <w:tcW w:type="dxa" w:w="5760"/>
            <w:shd w:val="clear" w:color="auto" w:fill="0B1F3A"/>
            <w:tcMar>
              <w:top w:w="60" w:type="dxa"/>
              <w:bottom w:w="60" w:type="dxa"/>
              <w:start w:w="100" w:type="dxa"/>
              <w:end w:w="100" w:type="dxa"/>
            </w:tcMar>
          </w:tcPr>
          <w:p>
            <w:r/>
            <w:r>
              <w:rPr>
                <w:rFonts w:ascii="Calibri" w:hAnsi="Calibri"/>
                <w:b/>
                <w:i w:val="0"/>
                <w:color w:val="FFFFFF"/>
                <w:sz w:val="19"/>
              </w:rPr>
              <w:t>Activities &amp; Deliverables</w:t>
            </w:r>
          </w:p>
        </w:tc>
        <w:tc>
          <w:tcPr>
            <w:tcW w:type="dxa" w:w="2304"/>
            <w:shd w:val="clear" w:color="auto" w:fill="0B1F3A"/>
            <w:tcMar>
              <w:top w:w="60" w:type="dxa"/>
              <w:bottom w:w="60" w:type="dxa"/>
              <w:start w:w="100" w:type="dxa"/>
              <w:end w:w="100" w:type="dxa"/>
            </w:tcMar>
          </w:tcPr>
          <w:p>
            <w:r/>
            <w:r>
              <w:rPr>
                <w:rFonts w:ascii="Calibri" w:hAnsi="Calibri"/>
                <w:b/>
                <w:i w:val="0"/>
                <w:color w:val="FFFFFF"/>
                <w:sz w:val="19"/>
              </w:rPr>
              <w:t>Stakeholders</w:t>
            </w:r>
          </w:p>
        </w:tc>
      </w:tr>
      <w:tr>
        <w:tc>
          <w:tcPr>
            <w:tcW w:type="dxa" w:w="720"/>
            <w:tcMar>
              <w:top w:w="60" w:type="dxa"/>
              <w:bottom w:w="60" w:type="dxa"/>
              <w:start w:w="100" w:type="dxa"/>
              <w:end w:w="100" w:type="dxa"/>
            </w:tcMar>
            <w:shd w:val="clear" w:color="auto" w:fill="F4F7FC"/>
          </w:tcPr>
          <w:p>
            <w:pPr>
              <w:spacing w:after="0"/>
            </w:pPr>
            <w:r/>
            <w:r>
              <w:rPr>
                <w:rFonts w:ascii="Calibri" w:hAnsi="Calibri"/>
                <w:b/>
                <w:i w:val="0"/>
                <w:sz w:val="18"/>
              </w:rPr>
              <w:t>1</w:t>
            </w:r>
          </w:p>
        </w:tc>
        <w:tc>
          <w:tcPr>
            <w:tcW w:type="dxa" w:w="2304"/>
            <w:tcMar>
              <w:top w:w="60" w:type="dxa"/>
              <w:bottom w:w="60" w:type="dxa"/>
              <w:start w:w="100" w:type="dxa"/>
              <w:end w:w="100" w:type="dxa"/>
            </w:tcMar>
            <w:shd w:val="clear" w:color="auto" w:fill="F4F7FC"/>
          </w:tcPr>
          <w:p>
            <w:pPr>
              <w:spacing w:after="0"/>
            </w:pPr>
            <w:r/>
            <w:r>
              <w:rPr>
                <w:rFonts w:ascii="Calibri" w:hAnsi="Calibri"/>
                <w:b w:val="0"/>
                <w:i w:val="0"/>
                <w:sz w:val="18"/>
              </w:rPr>
              <w:t>Threat Landscape Review</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8"/>
              </w:rPr>
              <w:t>Analyze emerging attack techniques and new technologies (AI/LLM advances, new cloud architectures). Review CVEs and industry reports from the past 6 months.</w:t>
            </w:r>
          </w:p>
          <w:p>
            <w:pPr>
              <w:spacing w:after="0"/>
            </w:pPr>
            <w:r>
              <w:rPr>
                <w:rFonts w:ascii="Calibri" w:hAnsi="Calibri"/>
                <w:b w:val="0"/>
                <w:i w:val="0"/>
                <w:sz w:val="18"/>
              </w:rPr>
              <w:t>Deliverable: summary of new/elevated threats and their impact on specialties.</w:t>
            </w:r>
          </w:p>
        </w:tc>
        <w:tc>
          <w:tcPr>
            <w:tcW w:type="dxa" w:w="2304"/>
            <w:tcMar>
              <w:top w:w="60" w:type="dxa"/>
              <w:bottom w:w="60" w:type="dxa"/>
              <w:start w:w="100" w:type="dxa"/>
              <w:end w:w="100" w:type="dxa"/>
            </w:tcMar>
            <w:shd w:val="clear" w:color="auto" w:fill="F4F7FC"/>
          </w:tcPr>
          <w:p>
            <w:pPr>
              <w:spacing w:after="0"/>
            </w:pPr>
            <w:r/>
            <w:r>
              <w:rPr>
                <w:rFonts w:ascii="Calibri" w:hAnsi="Calibri"/>
                <w:b w:val="0"/>
                <w:i w:val="0"/>
                <w:sz w:val="18"/>
              </w:rPr>
              <w:t>Research Team, Specialist Testers</w:t>
            </w:r>
          </w:p>
        </w:tc>
      </w:tr>
      <w:tr>
        <w:tc>
          <w:tcPr>
            <w:tcW w:type="dxa" w:w="720"/>
            <w:tcMar>
              <w:top w:w="60" w:type="dxa"/>
              <w:bottom w:w="60" w:type="dxa"/>
              <w:start w:w="100" w:type="dxa"/>
              <w:end w:w="100" w:type="dxa"/>
            </w:tcMar>
          </w:tcPr>
          <w:p>
            <w:pPr>
              <w:spacing w:after="0"/>
            </w:pPr>
            <w:r/>
            <w:r>
              <w:rPr>
                <w:rFonts w:ascii="Calibri" w:hAnsi="Calibri"/>
                <w:b/>
                <w:i w:val="0"/>
                <w:sz w:val="18"/>
              </w:rPr>
              <w:t>2</w:t>
            </w:r>
          </w:p>
        </w:tc>
        <w:tc>
          <w:tcPr>
            <w:tcW w:type="dxa" w:w="2304"/>
            <w:tcMar>
              <w:top w:w="60" w:type="dxa"/>
              <w:bottom w:w="60" w:type="dxa"/>
              <w:start w:w="100" w:type="dxa"/>
              <w:end w:w="100" w:type="dxa"/>
            </w:tcMar>
          </w:tcPr>
          <w:p>
            <w:pPr>
              <w:spacing w:after="0"/>
            </w:pPr>
            <w:r/>
            <w:r>
              <w:rPr>
                <w:rFonts w:ascii="Calibri" w:hAnsi="Calibri"/>
                <w:b w:val="0"/>
                <w:i w:val="0"/>
                <w:sz w:val="18"/>
              </w:rPr>
              <w:t>Business &amp; Capability Alignment</w:t>
            </w:r>
          </w:p>
        </w:tc>
        <w:tc>
          <w:tcPr>
            <w:tcW w:type="dxa" w:w="5760"/>
            <w:tcMar>
              <w:top w:w="60" w:type="dxa"/>
              <w:bottom w:w="60" w:type="dxa"/>
              <w:start w:w="100" w:type="dxa"/>
              <w:end w:w="100" w:type="dxa"/>
            </w:tcMar>
          </w:tcPr>
          <w:p>
            <w:pPr>
              <w:spacing w:after="0"/>
            </w:pPr>
            <w:r/>
            <w:r>
              <w:rPr>
                <w:rFonts w:ascii="Calibri" w:hAnsi="Calibri"/>
                <w:b w:val="0"/>
                <w:i w:val="0"/>
                <w:sz w:val="18"/>
              </w:rPr>
              <w:t>Review company strategy, new product lines, and evolving client needs (enterprise vs. boutique). Assess whether the specialty list is complete and relevant.</w:t>
            </w:r>
          </w:p>
          <w:p>
            <w:pPr>
              <w:spacing w:after="0"/>
            </w:pPr>
            <w:r>
              <w:rPr>
                <w:rFonts w:ascii="Calibri" w:hAnsi="Calibri"/>
                <w:b w:val="0"/>
                <w:i w:val="0"/>
                <w:sz w:val="18"/>
              </w:rPr>
              <w:t>Deliverable: proposed adjustments to specialty definitions and tier caps.</w:t>
            </w:r>
          </w:p>
        </w:tc>
        <w:tc>
          <w:tcPr>
            <w:tcW w:type="dxa" w:w="2304"/>
            <w:tcMar>
              <w:top w:w="60" w:type="dxa"/>
              <w:bottom w:w="60" w:type="dxa"/>
              <w:start w:w="100" w:type="dxa"/>
              <w:end w:w="100" w:type="dxa"/>
            </w:tcMar>
          </w:tcPr>
          <w:p>
            <w:pPr>
              <w:spacing w:after="0"/>
            </w:pPr>
            <w:r/>
            <w:r>
              <w:rPr>
                <w:rFonts w:ascii="Calibri" w:hAnsi="Calibri"/>
                <w:b w:val="0"/>
                <w:i w:val="0"/>
                <w:sz w:val="18"/>
              </w:rPr>
              <w:t>Leadership, Continuous Staffing Integration Team</w:t>
            </w:r>
          </w:p>
        </w:tc>
      </w:tr>
      <w:tr>
        <w:tc>
          <w:tcPr>
            <w:tcW w:type="dxa" w:w="720"/>
            <w:tcMar>
              <w:top w:w="60" w:type="dxa"/>
              <w:bottom w:w="60" w:type="dxa"/>
              <w:start w:w="100" w:type="dxa"/>
              <w:end w:w="100" w:type="dxa"/>
            </w:tcMar>
            <w:shd w:val="clear" w:color="auto" w:fill="F4F7FC"/>
          </w:tcPr>
          <w:p>
            <w:pPr>
              <w:spacing w:after="0"/>
            </w:pPr>
            <w:r/>
            <w:r>
              <w:rPr>
                <w:rFonts w:ascii="Calibri" w:hAnsi="Calibri"/>
                <w:b/>
                <w:i w:val="0"/>
                <w:sz w:val="18"/>
              </w:rPr>
              <w:t>3</w:t>
            </w:r>
          </w:p>
        </w:tc>
        <w:tc>
          <w:tcPr>
            <w:tcW w:type="dxa" w:w="2304"/>
            <w:tcMar>
              <w:top w:w="60" w:type="dxa"/>
              <w:bottom w:w="60" w:type="dxa"/>
              <w:start w:w="100" w:type="dxa"/>
              <w:end w:w="100" w:type="dxa"/>
            </w:tcMar>
            <w:shd w:val="clear" w:color="auto" w:fill="F4F7FC"/>
          </w:tcPr>
          <w:p>
            <w:pPr>
              <w:spacing w:after="0"/>
            </w:pPr>
            <w:r/>
            <w:r>
              <w:rPr>
                <w:rFonts w:ascii="Calibri" w:hAnsi="Calibri"/>
                <w:b w:val="0"/>
                <w:i w:val="0"/>
                <w:sz w:val="18"/>
              </w:rPr>
              <w:t>Evaluation Metrics &amp; Rubric Audit</w:t>
            </w:r>
          </w:p>
        </w:tc>
        <w:tc>
          <w:tcPr>
            <w:tcW w:type="dxa" w:w="5760"/>
            <w:tcMar>
              <w:top w:w="60" w:type="dxa"/>
              <w:bottom w:w="60" w:type="dxa"/>
              <w:start w:w="100" w:type="dxa"/>
              <w:end w:w="100" w:type="dxa"/>
            </w:tcMar>
            <w:shd w:val="clear" w:color="auto" w:fill="F4F7FC"/>
          </w:tcPr>
          <w:p>
            <w:pPr>
              <w:spacing w:after="0"/>
            </w:pPr>
            <w:r/>
            <w:r>
              <w:rPr>
                <w:rFonts w:ascii="Calibri" w:hAnsi="Calibri"/>
                <w:b w:val="0"/>
                <w:i w:val="0"/>
                <w:sz w:val="18"/>
              </w:rPr>
              <w:t>Review effectiveness of current evaluation criteria (e.g., exploit sophistication, QA rework rate). Audit the vetting process (HackTheBox / Cobalt Labs) per specialty for rigor.</w:t>
            </w:r>
          </w:p>
          <w:p>
            <w:pPr>
              <w:spacing w:after="0"/>
            </w:pPr>
            <w:r>
              <w:rPr>
                <w:rFonts w:ascii="Calibri" w:hAnsi="Calibri"/>
                <w:b w:val="0"/>
                <w:i w:val="0"/>
                <w:sz w:val="18"/>
              </w:rPr>
              <w:t>Deliverable: updated vetting-track requirements and metric weightings.</w:t>
            </w:r>
          </w:p>
        </w:tc>
        <w:tc>
          <w:tcPr>
            <w:tcW w:type="dxa" w:w="2304"/>
            <w:tcMar>
              <w:top w:w="60" w:type="dxa"/>
              <w:bottom w:w="60" w:type="dxa"/>
              <w:start w:w="100" w:type="dxa"/>
              <w:end w:w="100" w:type="dxa"/>
            </w:tcMar>
            <w:shd w:val="clear" w:color="auto" w:fill="F4F7FC"/>
          </w:tcPr>
          <w:p>
            <w:pPr>
              <w:spacing w:after="0"/>
            </w:pPr>
            <w:r/>
            <w:r>
              <w:rPr>
                <w:rFonts w:ascii="Calibri" w:hAnsi="Calibri"/>
                <w:b w:val="0"/>
                <w:i w:val="0"/>
                <w:sz w:val="18"/>
              </w:rPr>
              <w:t>Governance Team, Data Team, Research Team</w:t>
            </w:r>
          </w:p>
        </w:tc>
      </w:tr>
      <w:tr>
        <w:tc>
          <w:tcPr>
            <w:tcW w:type="dxa" w:w="720"/>
            <w:tcMar>
              <w:top w:w="60" w:type="dxa"/>
              <w:bottom w:w="60" w:type="dxa"/>
              <w:start w:w="100" w:type="dxa"/>
              <w:end w:w="100" w:type="dxa"/>
            </w:tcMar>
          </w:tcPr>
          <w:p>
            <w:pPr>
              <w:spacing w:after="0"/>
            </w:pPr>
            <w:r/>
            <w:r>
              <w:rPr>
                <w:rFonts w:ascii="Calibri" w:hAnsi="Calibri"/>
                <w:b/>
                <w:i w:val="0"/>
                <w:sz w:val="18"/>
              </w:rPr>
              <w:t>4</w:t>
            </w:r>
          </w:p>
        </w:tc>
        <w:tc>
          <w:tcPr>
            <w:tcW w:type="dxa" w:w="2304"/>
            <w:tcMar>
              <w:top w:w="60" w:type="dxa"/>
              <w:bottom w:w="60" w:type="dxa"/>
              <w:start w:w="100" w:type="dxa"/>
              <w:end w:w="100" w:type="dxa"/>
            </w:tcMar>
          </w:tcPr>
          <w:p>
            <w:pPr>
              <w:spacing w:after="0"/>
            </w:pPr>
            <w:r/>
            <w:r>
              <w:rPr>
                <w:rFonts w:ascii="Calibri" w:hAnsi="Calibri"/>
                <w:b w:val="0"/>
                <w:i w:val="0"/>
                <w:sz w:val="18"/>
              </w:rPr>
              <w:t>Documentation &amp; Communication</w:t>
            </w:r>
          </w:p>
        </w:tc>
        <w:tc>
          <w:tcPr>
            <w:tcW w:type="dxa" w:w="5760"/>
            <w:tcMar>
              <w:top w:w="60" w:type="dxa"/>
              <w:bottom w:w="60" w:type="dxa"/>
              <w:start w:w="100" w:type="dxa"/>
              <w:end w:w="100" w:type="dxa"/>
            </w:tcMar>
          </w:tcPr>
          <w:p>
            <w:pPr>
              <w:spacing w:after="0"/>
            </w:pPr>
            <w:r/>
            <w:r>
              <w:rPr>
                <w:rFonts w:ascii="Calibri" w:hAnsi="Calibri"/>
                <w:b w:val="0"/>
                <w:i w:val="0"/>
                <w:sz w:val="18"/>
              </w:rPr>
              <w:t>Finalize updates to the tiering structure and documentation. Prepare a communication plan for Core testers on changes to compensation, vetting, and progression.</w:t>
            </w:r>
          </w:p>
          <w:p>
            <w:pPr>
              <w:spacing w:after="0"/>
            </w:pPr>
            <w:r>
              <w:rPr>
                <w:rFonts w:ascii="Calibri" w:hAnsi="Calibri"/>
                <w:b w:val="0"/>
                <w:i w:val="0"/>
                <w:sz w:val="18"/>
              </w:rPr>
              <w:t>Deliverable: approved, updated tiering document and internal communication package.</w:t>
            </w:r>
          </w:p>
        </w:tc>
        <w:tc>
          <w:tcPr>
            <w:tcW w:type="dxa" w:w="2304"/>
            <w:tcMar>
              <w:top w:w="60" w:type="dxa"/>
              <w:bottom w:w="60" w:type="dxa"/>
              <w:start w:w="100" w:type="dxa"/>
              <w:end w:w="100" w:type="dxa"/>
            </w:tcMar>
          </w:tcPr>
          <w:p>
            <w:pPr>
              <w:spacing w:after="0"/>
            </w:pPr>
            <w:r/>
            <w:r>
              <w:rPr>
                <w:rFonts w:ascii="Calibri" w:hAnsi="Calibri"/>
                <w:b w:val="0"/>
                <w:i w:val="0"/>
                <w:sz w:val="18"/>
              </w:rPr>
              <w:t>Governance Team, HR/Legal, TPMs</w:t>
            </w:r>
          </w:p>
        </w:tc>
      </w:tr>
    </w:tbl>
    <w:p>
      <w:pPr>
        <w:spacing w:after="40"/>
      </w:pPr>
    </w:p>
    <w:p>
      <w:pPr>
        <w:spacing w:before="320" w:after="80"/>
        <w:pBdr>
          <w:bottom w:val="single" w:sz="10" w:space="4" w:color="1A4DB3"/>
        </w:pBdr>
      </w:pPr>
      <w:r>
        <w:rPr>
          <w:rFonts w:ascii="Calibri" w:hAnsi="Calibri"/>
          <w:b/>
          <w:i w:val="0"/>
          <w:color w:val="1A4DB3"/>
          <w:sz w:val="32"/>
        </w:rPr>
        <w:t>9. Governance, Roadmap &amp; Outcomes</w:t>
      </w:r>
    </w:p>
    <w:p>
      <w:pPr>
        <w:spacing w:before="200" w:after="60"/>
      </w:pPr>
      <w:r>
        <w:rPr>
          <w:rFonts w:ascii="Calibri" w:hAnsi="Calibri"/>
          <w:b/>
          <w:i w:val="0"/>
          <w:color w:val="0B1F3A"/>
          <w:sz w:val="26"/>
        </w:rPr>
        <w:t>Governance &amp; Economic Discipline</w:t>
      </w:r>
    </w:p>
    <w:p>
      <w:pPr>
        <w:pStyle w:val="ListBullet"/>
        <w:spacing w:after="40"/>
      </w:pPr>
      <w:r>
        <w:rPr>
          <w:rFonts w:ascii="Calibri" w:hAnsi="Calibri"/>
          <w:b w:val="0"/>
          <w:i w:val="0"/>
          <w:sz w:val="21"/>
        </w:rPr>
        <w:t>Tier caps enforced.</w:t>
      </w:r>
    </w:p>
    <w:p>
      <w:pPr>
        <w:pStyle w:val="ListBullet"/>
        <w:spacing w:after="40"/>
      </w:pPr>
      <w:r>
        <w:rPr>
          <w:rFonts w:ascii="Calibri" w:hAnsi="Calibri"/>
          <w:b w:val="0"/>
          <w:i w:val="0"/>
          <w:sz w:val="21"/>
        </w:rPr>
        <w:t>Evaluate data first.</w:t>
      </w:r>
    </w:p>
    <w:p>
      <w:pPr>
        <w:pStyle w:val="ListBullet"/>
        <w:spacing w:after="40"/>
      </w:pPr>
      <w:r>
        <w:rPr>
          <w:rFonts w:ascii="Calibri" w:hAnsi="Calibri"/>
          <w:b w:val="0"/>
          <w:i w:val="0"/>
          <w:sz w:val="21"/>
        </w:rPr>
        <w:t>Forecasting for finance (estimation only — we still vet for tiers).</w:t>
      </w:r>
    </w:p>
    <w:p>
      <w:pPr>
        <w:pStyle w:val="ListBullet"/>
        <w:spacing w:after="40"/>
      </w:pPr>
      <w:r>
        <w:rPr>
          <w:rFonts w:ascii="Calibri" w:hAnsi="Calibri"/>
          <w:b w:val="0"/>
          <w:i w:val="0"/>
          <w:sz w:val="21"/>
        </w:rPr>
        <w:t>Fast-track process for high-level testers.</w:t>
      </w:r>
    </w:p>
    <w:p>
      <w:pPr>
        <w:pStyle w:val="ListBullet"/>
        <w:spacing w:after="40"/>
      </w:pPr>
      <w:r>
        <w:rPr>
          <w:rFonts w:ascii="Calibri" w:hAnsi="Calibri"/>
          <w:b w:val="0"/>
          <w:i w:val="0"/>
          <w:sz w:val="21"/>
        </w:rPr>
        <w:t>Bi-annual reviews.</w:t>
      </w:r>
    </w:p>
    <w:p>
      <w:pPr>
        <w:pStyle w:val="ListBullet"/>
        <w:spacing w:after="40"/>
      </w:pPr>
      <w:r>
        <w:rPr>
          <w:rFonts w:ascii="Calibri" w:hAnsi="Calibri"/>
          <w:b w:val="0"/>
          <w:i w:val="0"/>
          <w:sz w:val="21"/>
        </w:rPr>
        <w:t>Specialty validation required.</w:t>
      </w:r>
    </w:p>
    <w:p>
      <w:pPr>
        <w:pStyle w:val="ListBullet"/>
        <w:spacing w:after="40"/>
      </w:pPr>
      <w:r>
        <w:rPr>
          <w:rFonts w:ascii="Calibri" w:hAnsi="Calibri"/>
          <w:b w:val="0"/>
          <w:i w:val="0"/>
          <w:sz w:val="21"/>
        </w:rPr>
        <w:t>Compensation strictly tier-aligned.</w:t>
      </w:r>
    </w:p>
    <w:p>
      <w:pPr>
        <w:spacing w:after="120"/>
      </w:pPr>
      <w:r>
        <w:rPr>
          <w:rFonts w:ascii="Calibri" w:hAnsi="Calibri"/>
          <w:b w:val="0"/>
          <w:i/>
          <w:color w:val="535A66"/>
          <w:sz w:val="21"/>
        </w:rPr>
        <w:t>This ensures controlled evolution without hierarchy distortion.</w:t>
      </w:r>
    </w:p>
    <w:p>
      <w:pPr>
        <w:spacing w:before="200" w:after="60"/>
      </w:pPr>
      <w:r>
        <w:rPr>
          <w:rFonts w:ascii="Calibri" w:hAnsi="Calibri"/>
          <w:b/>
          <w:i w:val="0"/>
          <w:color w:val="0B1F3A"/>
          <w:sz w:val="26"/>
        </w:rPr>
        <w:t>Continuous Platform Alignment</w:t>
      </w:r>
    </w:p>
    <w:p>
      <w:pPr>
        <w:spacing w:after="120"/>
      </w:pPr>
      <w:r>
        <w:rPr>
          <w:rFonts w:ascii="Calibri" w:hAnsi="Calibri"/>
          <w:b w:val="0"/>
          <w:i w:val="0"/>
          <w:sz w:val="21"/>
        </w:rPr>
        <w:t>Continuous Pentesting requires:</w:t>
      </w:r>
    </w:p>
    <w:p>
      <w:pPr>
        <w:pStyle w:val="ListBullet"/>
        <w:spacing w:after="40"/>
      </w:pPr>
      <w:r>
        <w:rPr>
          <w:rFonts w:ascii="Calibri" w:hAnsi="Calibri"/>
          <w:b w:val="0"/>
          <w:i w:val="0"/>
          <w:sz w:val="21"/>
        </w:rPr>
        <w:t>Multi-specialty validation.</w:t>
      </w:r>
    </w:p>
    <w:p>
      <w:pPr>
        <w:pStyle w:val="ListBullet"/>
        <w:spacing w:after="40"/>
      </w:pPr>
      <w:r>
        <w:rPr>
          <w:rFonts w:ascii="Calibri" w:hAnsi="Calibri"/>
          <w:b w:val="0"/>
          <w:i w:val="0"/>
          <w:sz w:val="21"/>
        </w:rPr>
        <w:t>Cross-sprint exploit consistency.</w:t>
      </w:r>
    </w:p>
    <w:p>
      <w:pPr>
        <w:pStyle w:val="ListBullet"/>
        <w:spacing w:after="40"/>
      </w:pPr>
      <w:r>
        <w:rPr>
          <w:rFonts w:ascii="Calibri" w:hAnsi="Calibri"/>
          <w:b w:val="0"/>
          <w:i w:val="0"/>
          <w:sz w:val="21"/>
        </w:rPr>
        <w:t>Reduced QA variability.</w:t>
      </w:r>
    </w:p>
    <w:p>
      <w:pPr>
        <w:spacing w:after="120"/>
      </w:pPr>
      <w:r>
        <w:rPr>
          <w:rFonts w:ascii="Calibri" w:hAnsi="Calibri"/>
          <w:b w:val="0"/>
          <w:i/>
          <w:color w:val="535A66"/>
          <w:sz w:val="21"/>
        </w:rPr>
        <w:t>Capability segmentation becomes a platform-grade staffing infrastructure for Continuous.</w:t>
      </w:r>
    </w:p>
    <w:p>
      <w:pPr>
        <w:spacing w:before="200" w:after="60"/>
      </w:pPr>
      <w:r>
        <w:rPr>
          <w:rFonts w:ascii="Calibri" w:hAnsi="Calibri"/>
          <w:b/>
          <w:i w:val="0"/>
          <w:color w:val="0B1F3A"/>
          <w:sz w:val="26"/>
        </w:rPr>
        <w:t>Implementation Roadmap (6 Months)</w:t>
      </w:r>
    </w:p>
    <w:tbl>
      <w:tblPr>
        <w:tblStyle w:val="TableGrid"/>
        <w:tblW w:type="auto" w:w="0"/>
        <w:jc w:val="center"/>
        <w:tblLook w:firstColumn="1" w:firstRow="1" w:lastColumn="0" w:lastRow="0" w:noHBand="0" w:noVBand="1" w:val="04A0"/>
      </w:tblPr>
      <w:tblGrid>
        <w:gridCol w:w="4824"/>
        <w:gridCol w:w="4824"/>
      </w:tblGrid>
      <w:tr>
        <w:tc>
          <w:tcPr>
            <w:tcW w:type="dxa" w:w="1728"/>
            <w:shd w:val="clear" w:color="auto" w:fill="0B1F3A"/>
            <w:tcMar>
              <w:top w:w="60" w:type="dxa"/>
              <w:bottom w:w="60" w:type="dxa"/>
              <w:start w:w="100" w:type="dxa"/>
              <w:end w:w="100" w:type="dxa"/>
            </w:tcMar>
          </w:tcPr>
          <w:p>
            <w:r/>
            <w:r>
              <w:rPr>
                <w:rFonts w:ascii="Calibri" w:hAnsi="Calibri"/>
                <w:b/>
                <w:i w:val="0"/>
                <w:color w:val="FFFFFF"/>
                <w:sz w:val="19"/>
              </w:rPr>
              <w:t>Phase</w:t>
            </w:r>
          </w:p>
        </w:tc>
        <w:tc>
          <w:tcPr>
            <w:tcW w:type="dxa" w:w="8640"/>
            <w:shd w:val="clear" w:color="auto" w:fill="0B1F3A"/>
            <w:tcMar>
              <w:top w:w="60" w:type="dxa"/>
              <w:bottom w:w="60" w:type="dxa"/>
              <w:start w:w="100" w:type="dxa"/>
              <w:end w:w="100" w:type="dxa"/>
            </w:tcMar>
          </w:tcPr>
          <w:p>
            <w:r/>
            <w:r>
              <w:rPr>
                <w:rFonts w:ascii="Calibri" w:hAnsi="Calibri"/>
                <w:b/>
                <w:i w:val="0"/>
                <w:color w:val="FFFFFF"/>
                <w:sz w:val="19"/>
              </w:rPr>
              <w:t>Milestone</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9"/>
              </w:rPr>
              <w:t>Phase 1</w:t>
            </w:r>
          </w:p>
        </w:tc>
        <w:tc>
          <w:tcPr>
            <w:tcW w:type="dxa" w:w="8640"/>
            <w:tcMar>
              <w:top w:w="60" w:type="dxa"/>
              <w:bottom w:w="60" w:type="dxa"/>
              <w:start w:w="100" w:type="dxa"/>
              <w:end w:w="100" w:type="dxa"/>
            </w:tcMar>
            <w:shd w:val="clear" w:color="auto" w:fill="F4F7FC"/>
          </w:tcPr>
          <w:p>
            <w:pPr>
              <w:spacing w:after="0"/>
            </w:pPr>
            <w:r/>
            <w:r>
              <w:rPr>
                <w:rFonts w:ascii="Calibri" w:hAnsi="Calibri"/>
                <w:b w:val="0"/>
                <w:i w:val="0"/>
                <w:sz w:val="19"/>
              </w:rPr>
              <w:t>Governance &amp; Rubric Finalization</w:t>
            </w:r>
          </w:p>
        </w:tc>
      </w:tr>
      <w:tr>
        <w:tc>
          <w:tcPr>
            <w:tcW w:type="dxa" w:w="1728"/>
            <w:tcMar>
              <w:top w:w="60" w:type="dxa"/>
              <w:bottom w:w="60" w:type="dxa"/>
              <w:start w:w="100" w:type="dxa"/>
              <w:end w:w="100" w:type="dxa"/>
            </w:tcMar>
          </w:tcPr>
          <w:p>
            <w:pPr>
              <w:spacing w:after="0"/>
            </w:pPr>
            <w:r/>
            <w:r>
              <w:rPr>
                <w:rFonts w:ascii="Calibri" w:hAnsi="Calibri"/>
                <w:b/>
                <w:i w:val="0"/>
                <w:sz w:val="19"/>
              </w:rPr>
              <w:t>Phase 2</w:t>
            </w:r>
          </w:p>
        </w:tc>
        <w:tc>
          <w:tcPr>
            <w:tcW w:type="dxa" w:w="8640"/>
            <w:tcMar>
              <w:top w:w="60" w:type="dxa"/>
              <w:bottom w:w="60" w:type="dxa"/>
              <w:start w:w="100" w:type="dxa"/>
              <w:end w:w="100" w:type="dxa"/>
            </w:tcMar>
          </w:tcPr>
          <w:p>
            <w:pPr>
              <w:spacing w:after="0"/>
            </w:pPr>
            <w:r/>
            <w:r>
              <w:rPr>
                <w:rFonts w:ascii="Calibri" w:hAnsi="Calibri"/>
                <w:b w:val="0"/>
                <w:i w:val="0"/>
                <w:sz w:val="19"/>
              </w:rPr>
              <w:t>Cloud / CCR Pilot</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9"/>
              </w:rPr>
              <w:t>Phase 3</w:t>
            </w:r>
          </w:p>
        </w:tc>
        <w:tc>
          <w:tcPr>
            <w:tcW w:type="dxa" w:w="8640"/>
            <w:tcMar>
              <w:top w:w="60" w:type="dxa"/>
              <w:bottom w:w="60" w:type="dxa"/>
              <w:start w:w="100" w:type="dxa"/>
              <w:end w:w="100" w:type="dxa"/>
            </w:tcMar>
            <w:shd w:val="clear" w:color="auto" w:fill="F4F7FC"/>
          </w:tcPr>
          <w:p>
            <w:pPr>
              <w:spacing w:after="0"/>
            </w:pPr>
            <w:r/>
            <w:r>
              <w:rPr>
                <w:rFonts w:ascii="Calibri" w:hAnsi="Calibri"/>
                <w:b w:val="0"/>
                <w:i w:val="0"/>
                <w:sz w:val="19"/>
              </w:rPr>
              <w:t>Web / API Backscoring</w:t>
            </w:r>
          </w:p>
        </w:tc>
      </w:tr>
      <w:tr>
        <w:tc>
          <w:tcPr>
            <w:tcW w:type="dxa" w:w="1728"/>
            <w:tcMar>
              <w:top w:w="60" w:type="dxa"/>
              <w:bottom w:w="60" w:type="dxa"/>
              <w:start w:w="100" w:type="dxa"/>
              <w:end w:w="100" w:type="dxa"/>
            </w:tcMar>
          </w:tcPr>
          <w:p>
            <w:pPr>
              <w:spacing w:after="0"/>
            </w:pPr>
            <w:r/>
            <w:r>
              <w:rPr>
                <w:rFonts w:ascii="Calibri" w:hAnsi="Calibri"/>
                <w:b/>
                <w:i w:val="0"/>
                <w:sz w:val="19"/>
              </w:rPr>
              <w:t>Phase 4</w:t>
            </w:r>
          </w:p>
        </w:tc>
        <w:tc>
          <w:tcPr>
            <w:tcW w:type="dxa" w:w="8640"/>
            <w:tcMar>
              <w:top w:w="60" w:type="dxa"/>
              <w:bottom w:w="60" w:type="dxa"/>
              <w:start w:w="100" w:type="dxa"/>
              <w:end w:w="100" w:type="dxa"/>
            </w:tcMar>
          </w:tcPr>
          <w:p>
            <w:pPr>
              <w:spacing w:after="0"/>
            </w:pPr>
            <w:r/>
            <w:r>
              <w:rPr>
                <w:rFonts w:ascii="Calibri" w:hAnsi="Calibri"/>
                <w:b w:val="0"/>
                <w:i w:val="0"/>
                <w:sz w:val="19"/>
              </w:rPr>
              <w:t>SCR + AI Specialty Validation</w:t>
            </w:r>
          </w:p>
        </w:tc>
      </w:tr>
      <w:tr>
        <w:tc>
          <w:tcPr>
            <w:tcW w:type="dxa" w:w="1728"/>
            <w:tcMar>
              <w:top w:w="60" w:type="dxa"/>
              <w:bottom w:w="60" w:type="dxa"/>
              <w:start w:w="100" w:type="dxa"/>
              <w:end w:w="100" w:type="dxa"/>
            </w:tcMar>
            <w:shd w:val="clear" w:color="auto" w:fill="F4F7FC"/>
          </w:tcPr>
          <w:p>
            <w:pPr>
              <w:spacing w:after="0"/>
            </w:pPr>
            <w:r/>
            <w:r>
              <w:rPr>
                <w:rFonts w:ascii="Calibri" w:hAnsi="Calibri"/>
                <w:b/>
                <w:i w:val="0"/>
                <w:sz w:val="19"/>
              </w:rPr>
              <w:t>Phase 5</w:t>
            </w:r>
          </w:p>
        </w:tc>
        <w:tc>
          <w:tcPr>
            <w:tcW w:type="dxa" w:w="8640"/>
            <w:tcMar>
              <w:top w:w="60" w:type="dxa"/>
              <w:bottom w:w="60" w:type="dxa"/>
              <w:start w:w="100" w:type="dxa"/>
              <w:end w:w="100" w:type="dxa"/>
            </w:tcMar>
            <w:shd w:val="clear" w:color="auto" w:fill="F4F7FC"/>
          </w:tcPr>
          <w:p>
            <w:pPr>
              <w:spacing w:after="0"/>
            </w:pPr>
            <w:r/>
            <w:r>
              <w:rPr>
                <w:rFonts w:ascii="Calibri" w:hAnsi="Calibri"/>
                <w:b w:val="0"/>
                <w:i w:val="0"/>
                <w:sz w:val="19"/>
              </w:rPr>
              <w:t>Compensation Activation</w:t>
            </w:r>
          </w:p>
        </w:tc>
      </w:tr>
      <w:tr>
        <w:tc>
          <w:tcPr>
            <w:tcW w:type="dxa" w:w="1728"/>
            <w:tcMar>
              <w:top w:w="60" w:type="dxa"/>
              <w:bottom w:w="60" w:type="dxa"/>
              <w:start w:w="100" w:type="dxa"/>
              <w:end w:w="100" w:type="dxa"/>
            </w:tcMar>
          </w:tcPr>
          <w:p>
            <w:pPr>
              <w:spacing w:after="0"/>
            </w:pPr>
            <w:r/>
            <w:r>
              <w:rPr>
                <w:rFonts w:ascii="Calibri" w:hAnsi="Calibri"/>
                <w:b/>
                <w:i w:val="0"/>
                <w:sz w:val="19"/>
              </w:rPr>
              <w:t>Phase 6</w:t>
            </w:r>
          </w:p>
        </w:tc>
        <w:tc>
          <w:tcPr>
            <w:tcW w:type="dxa" w:w="8640"/>
            <w:tcMar>
              <w:top w:w="60" w:type="dxa"/>
              <w:bottom w:w="60" w:type="dxa"/>
              <w:start w:w="100" w:type="dxa"/>
              <w:end w:w="100" w:type="dxa"/>
            </w:tcMar>
          </w:tcPr>
          <w:p>
            <w:pPr>
              <w:spacing w:after="0"/>
            </w:pPr>
            <w:r/>
            <w:r>
              <w:rPr>
                <w:rFonts w:ascii="Calibri" w:hAnsi="Calibri"/>
                <w:b w:val="0"/>
                <w:i w:val="0"/>
                <w:sz w:val="19"/>
              </w:rPr>
              <w:t>Continuous Staffing Integration</w:t>
            </w:r>
          </w:p>
        </w:tc>
      </w:tr>
    </w:tbl>
    <w:p>
      <w:pPr>
        <w:spacing w:after="40"/>
      </w:pPr>
    </w:p>
    <w:p>
      <w:pPr>
        <w:spacing w:before="200" w:after="60"/>
      </w:pPr>
      <w:r>
        <w:rPr>
          <w:rFonts w:ascii="Calibri" w:hAnsi="Calibri"/>
          <w:b/>
          <w:i w:val="0"/>
          <w:color w:val="0B1F3A"/>
          <w:sz w:val="26"/>
        </w:rPr>
        <w:t>Success Metrics (Measured Quarterly)</w:t>
      </w:r>
    </w:p>
    <w:p>
      <w:pPr>
        <w:pStyle w:val="ListBullet"/>
        <w:spacing w:after="40"/>
      </w:pPr>
      <w:r>
        <w:rPr>
          <w:rFonts w:ascii="Calibri" w:hAnsi="Calibri"/>
          <w:b w:val="0"/>
          <w:i w:val="0"/>
          <w:sz w:val="21"/>
        </w:rPr>
        <w:t>QA rework hours per engagement</w:t>
      </w:r>
    </w:p>
    <w:p>
      <w:pPr>
        <w:pStyle w:val="ListBullet"/>
        <w:spacing w:after="40"/>
      </w:pPr>
      <w:r>
        <w:rPr>
          <w:rFonts w:ascii="Calibri" w:hAnsi="Calibri"/>
          <w:b w:val="0"/>
          <w:i w:val="0"/>
          <w:sz w:val="21"/>
        </w:rPr>
        <w:t>Severity adjustment frequency</w:t>
      </w:r>
    </w:p>
    <w:p>
      <w:pPr>
        <w:pStyle w:val="ListBullet"/>
        <w:spacing w:after="40"/>
      </w:pPr>
      <w:r>
        <w:rPr>
          <w:rFonts w:ascii="Calibri" w:hAnsi="Calibri"/>
          <w:b w:val="0"/>
          <w:i w:val="0"/>
          <w:sz w:val="21"/>
        </w:rPr>
        <w:t>Exploit chaining rate</w:t>
      </w:r>
    </w:p>
    <w:p>
      <w:pPr>
        <w:pStyle w:val="ListBullet"/>
        <w:spacing w:after="40"/>
      </w:pPr>
      <w:r>
        <w:rPr>
          <w:rFonts w:ascii="Calibri" w:hAnsi="Calibri"/>
          <w:b w:val="0"/>
          <w:i w:val="0"/>
          <w:sz w:val="21"/>
        </w:rPr>
        <w:t>Time to meaningful findings</w:t>
      </w:r>
    </w:p>
    <w:p>
      <w:pPr>
        <w:pStyle w:val="ListBullet"/>
        <w:spacing w:after="40"/>
      </w:pPr>
      <w:r>
        <w:rPr>
          <w:rFonts w:ascii="Calibri" w:hAnsi="Calibri"/>
          <w:b w:val="0"/>
          <w:i w:val="0"/>
          <w:sz w:val="21"/>
        </w:rPr>
        <w:t>Enterprise CSAT</w:t>
      </w:r>
    </w:p>
    <w:p>
      <w:pPr>
        <w:pStyle w:val="ListBullet"/>
        <w:spacing w:after="40"/>
      </w:pPr>
      <w:r>
        <w:rPr>
          <w:rFonts w:ascii="Calibri" w:hAnsi="Calibri"/>
          <w:b w:val="0"/>
          <w:i w:val="0"/>
          <w:sz w:val="21"/>
        </w:rPr>
        <w:t>Continuous renewal rates</w:t>
      </w:r>
    </w:p>
    <w:p>
      <w:pPr>
        <w:pStyle w:val="ListBullet"/>
        <w:spacing w:after="40"/>
      </w:pPr>
      <w:r>
        <w:rPr>
          <w:rFonts w:ascii="Calibri" w:hAnsi="Calibri"/>
          <w:b w:val="0"/>
          <w:i w:val="0"/>
          <w:sz w:val="21"/>
        </w:rPr>
        <w:t>Top-performer retention</w:t>
      </w:r>
    </w:p>
    <w:p>
      <w:pPr>
        <w:spacing w:before="200" w:after="60"/>
      </w:pPr>
      <w:r>
        <w:rPr>
          <w:rFonts w:ascii="Calibri" w:hAnsi="Calibri"/>
          <w:b/>
          <w:i w:val="0"/>
          <w:color w:val="0B1F3A"/>
          <w:sz w:val="26"/>
        </w:rPr>
        <w:t>Strategic Outcome</w:t>
      </w:r>
    </w:p>
    <w:p>
      <w:pPr>
        <w:spacing w:after="120"/>
      </w:pPr>
      <w:r>
        <w:rPr>
          <w:rFonts w:ascii="Calibri" w:hAnsi="Calibri"/>
          <w:b w:val="0"/>
          <w:i w:val="0"/>
          <w:sz w:val="21"/>
        </w:rPr>
        <w:t>This program establishes:</w:t>
      </w:r>
    </w:p>
    <w:p>
      <w:pPr>
        <w:pStyle w:val="ListBullet"/>
        <w:spacing w:after="40"/>
      </w:pPr>
      <w:r>
        <w:rPr>
          <w:rFonts w:ascii="Calibri" w:hAnsi="Calibri"/>
          <w:b w:val="0"/>
          <w:i w:val="0"/>
          <w:sz w:val="21"/>
        </w:rPr>
        <w:t>Capability-based staffing infrastructure</w:t>
      </w:r>
    </w:p>
    <w:p>
      <w:pPr>
        <w:pStyle w:val="ListBullet"/>
        <w:spacing w:after="40"/>
      </w:pPr>
      <w:r>
        <w:rPr>
          <w:rFonts w:ascii="Calibri" w:hAnsi="Calibri"/>
          <w:b w:val="0"/>
          <w:i w:val="0"/>
          <w:sz w:val="21"/>
        </w:rPr>
        <w:t>Specialty-validated operators</w:t>
      </w:r>
    </w:p>
    <w:p>
      <w:pPr>
        <w:pStyle w:val="ListBullet"/>
        <w:spacing w:after="40"/>
      </w:pPr>
      <w:r>
        <w:rPr>
          <w:rFonts w:ascii="Calibri" w:hAnsi="Calibri"/>
          <w:b w:val="0"/>
          <w:i w:val="0"/>
          <w:sz w:val="21"/>
        </w:rPr>
        <w:t>Controlled compensation differentiation</w:t>
      </w:r>
    </w:p>
    <w:p>
      <w:pPr>
        <w:pStyle w:val="ListBullet"/>
        <w:spacing w:after="40"/>
      </w:pPr>
      <w:r>
        <w:rPr>
          <w:rFonts w:ascii="Calibri" w:hAnsi="Calibri"/>
          <w:b w:val="0"/>
          <w:i w:val="0"/>
          <w:sz w:val="21"/>
        </w:rPr>
        <w:t>Enterprise-grade consistency</w:t>
      </w:r>
    </w:p>
    <w:p>
      <w:pPr>
        <w:pStyle w:val="ListBullet"/>
        <w:spacing w:after="40"/>
      </w:pPr>
      <w:r>
        <w:rPr>
          <w:rFonts w:ascii="Calibri" w:hAnsi="Calibri"/>
          <w:b w:val="0"/>
          <w:i w:val="0"/>
          <w:sz w:val="21"/>
        </w:rPr>
        <w:t>Continuous-ready Core architecture</w:t>
      </w:r>
    </w:p>
    <w:p>
      <w:pPr>
        <w:spacing w:after="120"/>
      </w:pPr>
      <w:r>
        <w:rPr>
          <w:rFonts w:ascii="Calibri" w:hAnsi="Calibri"/>
          <w:b w:val="0"/>
          <w:i/>
          <w:color w:val="535A66"/>
          <w:sz w:val="21"/>
        </w:rPr>
        <w:t>This represents the next phase of Core maturity aligned to Cobalt's product trajectory.</w:t>
      </w:r>
    </w:p>
    <w:p>
      <w:pPr>
        <w:spacing w:before="200" w:after="60"/>
      </w:pPr>
      <w:r>
        <w:rPr>
          <w:rFonts w:ascii="Calibri" w:hAnsi="Calibri"/>
          <w:b/>
          <w:i w:val="0"/>
          <w:color w:val="0B1F3A"/>
          <w:sz w:val="26"/>
        </w:rPr>
        <w:t>Tier Rollout</w:t>
      </w:r>
    </w:p>
    <w:p>
      <w:pPr>
        <w:pStyle w:val="ListNumber"/>
        <w:spacing w:after="40"/>
      </w:pPr>
      <w:r>
        <w:rPr>
          <w:rFonts w:ascii="Calibri" w:hAnsi="Calibri"/>
          <w:b w:val="0"/>
          <w:i w:val="0"/>
          <w:sz w:val="21"/>
        </w:rPr>
        <w:t>Announce the tiers.</w:t>
      </w:r>
    </w:p>
    <w:p>
      <w:pPr>
        <w:pStyle w:val="ListNumber"/>
        <w:spacing w:after="40"/>
      </w:pPr>
      <w:r>
        <w:rPr>
          <w:rFonts w:ascii="Calibri" w:hAnsi="Calibri"/>
          <w:b w:val="0"/>
          <w:i w:val="0"/>
          <w:sz w:val="21"/>
        </w:rPr>
        <w:t>Notify testers which tiers they are in.</w:t>
      </w:r>
    </w:p>
    <w:p>
      <w:pPr>
        <w:pStyle w:val="ListNumber"/>
        <w:spacing w:after="40"/>
      </w:pPr>
      <w:r>
        <w:rPr>
          <w:rFonts w:ascii="Calibri" w:hAnsi="Calibri"/>
          <w:b w:val="0"/>
          <w:i w:val="0"/>
          <w:sz w:val="21"/>
        </w:rPr>
        <w:t>Provide a period to challenge the tier.</w:t>
      </w:r>
    </w:p>
    <w:p>
      <w:pPr>
        <w:pStyle w:val="ListNumber"/>
        <w:spacing w:after="40"/>
      </w:pPr>
      <w:r>
        <w:rPr>
          <w:rFonts w:ascii="Calibri" w:hAnsi="Calibri"/>
          <w:b w:val="0"/>
          <w:i w:val="0"/>
          <w:sz w:val="21"/>
        </w:rPr>
        <w:t>Apply all objective criteria.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