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xperiment"/>
    <w:p>
      <w:pPr>
        <w:pStyle w:val="Heading1"/>
      </w:pPr>
      <w:r>
        <w:t xml:space="preserve">Experiment</w:t>
      </w:r>
    </w:p>
    <w:bookmarkStart w:id="22" w:name="settings"/>
    <w:p>
      <w:pPr>
        <w:pStyle w:val="Heading2"/>
      </w:pPr>
      <w:r>
        <w:t xml:space="preserve">Settings</w:t>
      </w:r>
    </w:p>
    <w:bookmarkStart w:id="20" w:name="dataset"/>
    <w:p>
      <w:pPr>
        <w:pStyle w:val="Heading3"/>
      </w:pPr>
      <w:r>
        <w:rPr>
          <w:bCs/>
          <w:b/>
        </w:rPr>
        <w:t xml:space="preserve">Dataset</w:t>
      </w:r>
    </w:p>
    <w:p>
      <w:pPr>
        <w:pStyle w:val="FirstParagraph"/>
      </w:pPr>
      <w:r>
        <w:t xml:space="preserve">We consider three UK wind farms, namely</w:t>
      </w:r>
      <w:r>
        <w:t xml:space="preserve"> </w:t>
      </w:r>
      <w:r>
        <w:rPr>
          <w:iCs/>
          <w:i/>
        </w:rPr>
        <w:t xml:space="preserve">Kelmarsh</w:t>
      </w:r>
      <w:r>
        <w:t xml:space="preserve"> </w:t>
      </w:r>
      <w:r>
        <w:t xml:space="preserve">,</w:t>
      </w:r>
      <w:r>
        <w:t xml:space="preserve"> </w:t>
      </w:r>
      <w:r>
        <w:rPr>
          <w:iCs/>
          <w:i/>
        </w:rPr>
        <w:t xml:space="preserve">Penmanshiel</w:t>
      </w:r>
      <w:r>
        <w:t xml:space="preserve"> </w:t>
      </w:r>
      <w:r>
        <w:t xml:space="preserve">, and</w:t>
      </w:r>
      <w:r>
        <w:t xml:space="preserve"> </w:t>
      </w:r>
      <w:r>
        <w:rPr>
          <w:iCs/>
          <w:i/>
        </w:rPr>
        <w:t xml:space="preserve">Hill of Towie</w:t>
      </w:r>
      <w:r>
        <w:t xml:space="preserve"> </w:t>
      </w:r>
      <w:r>
        <w:t xml:space="preserve">, spanning calendar years 2016–2020.</w:t>
      </w:r>
      <w:r>
        <w:t xml:space="preserve"> </w:t>
      </w:r>
      <w:r>
        <w:t xml:space="preserve">For each farm, we collect (i) turbine-level SCADA measurements and (ii) gridded meteorological products from the CERRA </w:t>
      </w:r>
      <w:r>
        <w:t xml:space="preserve"> </w:t>
      </w:r>
      <w:r>
        <w:t xml:space="preserve">dataset at 75 m height, including both reanalysis (analysis) and short-range forecasts. Additional details of these three dataset can be found in</w:t>
      </w:r>
      <w:r>
        <w:t xml:space="preserve"> </w:t>
      </w:r>
      <w:hyperlink w:anchor="tab:dataset_summary">
        <w:r>
          <w:rPr>
            <w:rStyle w:val="Hyperlink"/>
          </w:rPr>
          <w:t xml:space="preserve">[tab:dataset_summary]</w:t>
        </w:r>
      </w:hyperlink>
      <w:r>
        <w:t xml:space="preserve">.</w:t>
      </w:r>
      <w:r>
        <w:t xml:space="preserve"> </w:t>
      </w:r>
      <w:r>
        <w:t xml:space="preserve">SCADA features include turbine power, observed wind speed, observed wind direction, nacelle position (yaw), and a curtailment/downtime indicator (</w:t>
      </w:r>
      <w:r>
        <w:rPr>
          <w:iCs/>
          <w:i/>
        </w:rPr>
        <w:t xml:space="preserve">Lost Production</w:t>
      </w:r>
      <w:r>
        <w:t xml:space="preserve">).</w:t>
      </w:r>
      <w:r>
        <w:t xml:space="preserve"> </w:t>
      </w:r>
      <w:r>
        <w:t xml:space="preserve">To obtain reliable supervision, we mark an hourly target as valid only when (i) the power measurement is finite and (ii)</w:t>
      </w:r>
      <w:r>
        <w:t xml:space="preserve"> </w:t>
      </w:r>
      <w:r>
        <w:rPr>
          <w:iCs/>
          <w:i/>
        </w:rPr>
        <w:t xml:space="preserve">Lost Production</w:t>
      </w:r>
      <w:r>
        <w:t xml:space="preserve"> </w:t>
      </w:r>
      <w:r>
        <w:t xml:space="preserve">equals zero; otherwise the target mask is set to 0 and ignored by loss/metrics.</w:t>
      </w:r>
      <w:r>
        <w:t xml:space="preserve"> </w:t>
      </w:r>
      <w:r>
        <w:t xml:space="preserve">We construct an input history at a step of 3 hours with length</w:t>
      </w:r>
      <w:r>
        <w:t xml:space="preserve"> </w:t>
      </w:r>
      <m:oMath>
        <m:r>
          <m:t>L</m:t>
        </m:r>
        <m:r>
          <m:rPr>
            <m:sty m:val="p"/>
          </m:rPr>
          <m:t>=</m:t>
        </m:r>
        <m:r>
          <m:t>9</m:t>
        </m:r>
      </m:oMath>
      <w:r>
        <w:t xml:space="preserve"> </w:t>
      </w:r>
      <w:r>
        <w:t xml:space="preserve">and a prediction horizon of</w:t>
      </w:r>
      <w:r>
        <w:t xml:space="preserve"> </w:t>
      </w:r>
      <m:oMath>
        <m:r>
          <m:t>H</m:t>
        </m:r>
        <m:r>
          <m:rPr>
            <m:sty m:val="p"/>
          </m:rPr>
          <m:t>=</m:t>
        </m:r>
        <m:r>
          <m:t>6</m:t>
        </m:r>
      </m:oMath>
      <w:r>
        <w:t xml:space="preserve"> </w:t>
      </w:r>
      <w:r>
        <w:t xml:space="preserve">at an hourly resolution.</w:t>
      </w:r>
    </w:p>
    <w:bookmarkEnd w:id="20"/>
    <w:bookmarkStart w:id="21" w:name="baselines"/>
    <w:p>
      <w:pPr>
        <w:pStyle w:val="Heading3"/>
      </w:pPr>
      <w:r>
        <w:rPr>
          <w:bCs/>
          <w:b/>
        </w:rPr>
        <w:t xml:space="preserve">Baselines</w:t>
      </w:r>
    </w:p>
    <w:p>
      <w:pPr>
        <w:pStyle w:val="FirstParagraph"/>
      </w:pPr>
      <w:r>
        <w:t xml:space="preserve">We compare against a comprehensive set of baselines summarized in</w:t>
      </w:r>
      <w:r>
        <w:t xml:space="preserve"> </w:t>
      </w:r>
      <w:hyperlink w:anchor="table:ai">
        <w:r>
          <w:rPr>
            <w:rStyle w:val="Hyperlink"/>
          </w:rPr>
          <w:t xml:space="preserve">[table:ai]</w:t>
        </w:r>
      </w:hyperlink>
      <w:r>
        <w:t xml:space="preserve">.</w:t>
      </w:r>
      <w:r>
        <w:t xml:space="preserve"> </w:t>
      </w:r>
      <w:r>
        <w:t xml:space="preserve">They are grouped as follows:</w:t>
      </w:r>
    </w:p>
    <w:p>
      <w:pPr>
        <w:numPr>
          <w:ilvl w:val="0"/>
          <w:numId w:val="1001"/>
        </w:numPr>
      </w:pPr>
      <w:r>
        <w:rPr>
          <w:bCs/>
          <w:b/>
        </w:rPr>
        <w:t xml:space="preserve">Time-series models:</w:t>
      </w:r>
      <w:r>
        <w:t xml:space="preserve"> </w:t>
      </w:r>
      <w:r>
        <w:t xml:space="preserve">DLinear </w:t>
      </w:r>
      <w:r>
        <w:t xml:space="preserve">, TimeMixer </w:t>
      </w:r>
      <w:r>
        <w:t xml:space="preserve">, TimeXer </w:t>
      </w:r>
      <w:r>
        <w:t xml:space="preserve">, TSMixer </w:t>
      </w:r>
      <w:r>
        <w:t xml:space="preserve">, WPMixer </w:t>
      </w:r>
      <w:r>
        <w:t xml:space="preserve">, iTransformer </w:t>
      </w:r>
      <w:r>
        <w:t xml:space="preserve">, PatchTST </w:t>
      </w:r>
      <w:r>
        <w:t xml:space="preserve">,</w:t>
      </w:r>
      <w:r>
        <w:t xml:space="preserve"> </w:t>
      </w:r>
      <w:r>
        <w:t xml:space="preserve">and TimesNet </w:t>
      </w:r>
      <w:r>
        <w:t xml:space="preserve">.</w:t>
      </w:r>
    </w:p>
    <w:p>
      <w:pPr>
        <w:numPr>
          <w:ilvl w:val="0"/>
          <w:numId w:val="1001"/>
        </w:numPr>
      </w:pPr>
      <w:r>
        <w:rPr>
          <w:bCs/>
          <w:b/>
        </w:rPr>
        <w:t xml:space="preserve">Foundation time-series models:</w:t>
      </w:r>
      <w:r>
        <w:t xml:space="preserve"> </w:t>
      </w:r>
      <w:r>
        <w:t xml:space="preserve">TimeMoE </w:t>
      </w:r>
      <w:r>
        <w:t xml:space="preserve">, TiRex </w:t>
      </w:r>
      <w:r>
        <w:t xml:space="preserve">, and Chronos2 </w:t>
      </w:r>
      <w:r>
        <w:t xml:space="preserve">.</w:t>
      </w:r>
    </w:p>
    <w:p>
      <w:pPr>
        <w:numPr>
          <w:ilvl w:val="0"/>
          <w:numId w:val="1001"/>
        </w:numPr>
      </w:pPr>
      <w:r>
        <w:rPr>
          <w:bCs/>
          <w:b/>
        </w:rPr>
        <w:t xml:space="preserve">Spatio-temporal models:</w:t>
      </w:r>
      <w:r>
        <w:t xml:space="preserve"> </w:t>
      </w:r>
      <w:r>
        <w:t xml:space="preserve">LSTM </w:t>
      </w:r>
      <w:r>
        <w:t xml:space="preserve">, MPNN </w:t>
      </w:r>
      <w:r>
        <w:t xml:space="preserve">, D2STGNN </w:t>
      </w:r>
      <w:r>
        <w:t xml:space="preserve">, DCRNN </w:t>
      </w:r>
      <w:r>
        <w:t xml:space="preserve">, STID</w:t>
      </w:r>
      <w:r>
        <w:t xml:space="preserve">, MTGNN </w:t>
      </w:r>
      <w:r>
        <w:t xml:space="preserve">, and AGCRN </w:t>
      </w:r>
      <w:r>
        <w:t xml:space="preserve">, MiTSformer </w:t>
      </w:r>
      <w:r>
        <w:t xml:space="preserve">, HimNet </w:t>
      </w:r>
      <w:r>
        <w:t xml:space="preserve">, T-Graphormer </w:t>
      </w:r>
      <w:r>
        <w:t xml:space="preserve">, PatchSTG </w:t>
      </w:r>
      <w:r>
        <w:t xml:space="preserve"> </w:t>
      </w:r>
      <w:r>
        <w:t xml:space="preserve">and</w:t>
      </w:r>
      <w:r>
        <w:t xml:space="preserve"> </w:t>
      </w:r>
      <w:r>
        <w:t xml:space="preserve">HSTGNN </w:t>
      </w:r>
      <w:r>
        <w:t xml:space="preserve">.</w:t>
      </w:r>
    </w:p>
    <w:p>
      <w:pPr>
        <w:numPr>
          <w:ilvl w:val="0"/>
          <w:numId w:val="1001"/>
        </w:numPr>
      </w:pPr>
      <w:r>
        <w:rPr>
          <w:bCs/>
          <w:b/>
        </w:rPr>
        <w:t xml:space="preserve">Scenario generation models:</w:t>
      </w:r>
      <w:r>
        <w:t xml:space="preserve"> </w:t>
      </w:r>
      <w:r>
        <w:t xml:space="preserve">CLDM </w:t>
      </w:r>
      <w:r>
        <w:t xml:space="preserve">, Basic Diffusion </w:t>
      </w:r>
      <w:r>
        <w:t xml:space="preserve">, WIDLinear </w:t>
      </w:r>
      <w:r>
        <w:t xml:space="preserve"> </w:t>
      </w:r>
      <w:r>
        <w:t xml:space="preserve">and WITFT </w:t>
      </w:r>
      <w:r>
        <w:t xml:space="preserve">.</w:t>
      </w:r>
    </w:p>
    <w:p>
      <w:pPr>
        <w:pStyle w:val="FirstParagraph"/>
      </w:pPr>
      <w:r>
        <w:t xml:space="preserve">All baselines are evaluated under the same train/val/test split, the same input/output definition</w:t>
      </w:r>
      <w:r>
        <w:t xml:space="preserve"> </w:t>
      </w:r>
      <m:oMath>
        <m:d>
          <m:dPr>
            <m:begChr m:val="("/>
            <m:endChr m:val=")"/>
            <m:sepChr m:val=""/>
            <m:grow/>
          </m:dPr>
          <m:e>
            <m:r>
              <m:t>L</m:t>
            </m:r>
            <m:r>
              <m:rPr>
                <m:sty m:val="p"/>
              </m:rPr>
              <m:t>,</m:t>
            </m:r>
            <m:r>
              <m:t>H</m:t>
            </m:r>
          </m:e>
        </m:d>
      </m:oMath>
      <w:r>
        <w:t xml:space="preserve">, and the same masking rule to ensure fair comparison.</w:t>
      </w:r>
      <w:r>
        <w:t xml:space="preserve"> </w:t>
      </w:r>
      <w:r>
        <w:t xml:space="preserve">For probabilistic methods, we report deterministic errors using the predictive mean/median (consistent across methods) when computing MAE/RMSE.</w:t>
      </w:r>
      <w:r>
        <w:t xml:space="preserve"> </w:t>
      </w:r>
      <w:r>
        <w:t xml:space="preserve">The implementation details can be found in the Appendix </w:t>
      </w:r>
      <w:hyperlink w:anchor="sec:imp">
        <w:r>
          <w:rPr>
            <w:rStyle w:val="Hyperlink"/>
          </w:rPr>
          <w:t xml:space="preserve">[sec:imp]</w:t>
        </w:r>
      </w:hyperlink>
      <w:r>
        <w:t xml:space="preserve">.</w:t>
      </w:r>
    </w:p>
    <w:bookmarkEnd w:id="21"/>
    <w:bookmarkEnd w:id="22"/>
    <w:bookmarkStart w:id="25" w:name="overall-comparison"/>
    <w:p>
      <w:pPr>
        <w:pStyle w:val="Heading2"/>
      </w:pPr>
      <w:r>
        <w:t xml:space="preserve">Overall Comparison</w:t>
      </w:r>
    </w:p>
    <w:bookmarkStart w:id="23" w:name="baselines-with-only-scada-input"/>
    <w:p>
      <w:pPr>
        <w:pStyle w:val="Heading3"/>
      </w:pPr>
      <w:r>
        <w:rPr>
          <w:bCs/>
          <w:b/>
        </w:rPr>
        <w:t xml:space="preserve">baselines with only SCADA input</w:t>
      </w:r>
    </w:p>
    <w:p>
      <w:pPr>
        <w:pStyle w:val="FirstParagraph"/>
      </w:pPr>
      <w:hyperlink w:anchor="table:ai">
        <w:r>
          <w:rPr>
            <w:rStyle w:val="Hyperlink"/>
          </w:rPr>
          <w:t xml:space="preserve">[table:ai]</w:t>
        </w:r>
      </w:hyperlink>
      <w:r>
        <w:t xml:space="preserve"> </w:t>
      </w:r>
      <w:r>
        <w:t xml:space="preserve">and</w:t>
      </w:r>
      <w:r>
        <w:t xml:space="preserve"> </w:t>
      </w:r>
      <w:hyperlink w:anchor="table:nwpfusion-baselines">
        <w:r>
          <w:rPr>
            <w:rStyle w:val="Hyperlink"/>
          </w:rPr>
          <w:t xml:space="preserve">[table:nwpfusion-baselines]</w:t>
        </w:r>
      </w:hyperlink>
      <w:r>
        <w:t xml:space="preserve"> </w:t>
      </w:r>
      <w:r>
        <w:t xml:space="preserve">provide the main experimental results of the baselines with only SCADA input and the baselines with SCADA+CERRA fusion input. We report masked MAE and RMSE on two horizon ranges: &lt;3h (steps 1–3) and &lt;6h (steps 1–6). MAE summarizes typical errors, while RMSE is more sensitive to large deviations. We observe that our model achieved the best performance compared to all the baselines in all datasets. In the following, we discuss the results of these two tables, respectively.</w:t>
      </w:r>
    </w:p>
    <w:p>
      <w:pPr>
        <w:pStyle w:val="BodyText"/>
      </w:pPr>
      <w:r>
        <w:t xml:space="preserve">All baselines in table 2 are only input the scada data and divided into 4 groups according to our summary in the experimental setting. Overall, our proposed model, which combines SCADA and CERRA data, achieves the best performance compared to all other baselines on all three wind farms and both horizons, consistently reducing both MAE and RMSE.</w:t>
      </w:r>
      <w:r>
        <w:t xml:space="preserve"> </w:t>
      </w:r>
      <w:r>
        <w:t xml:space="preserve">A key observation is that SCADA-only models exhibit a clear performance ceiling, especially at the longer horizon. Compared with the strongest SCADA-only baseline(e.g., MTGNN and HSTGNN) in each setting, our method yields</w:t>
      </w:r>
      <w:r>
        <w:t xml:space="preserve"> </w:t>
      </w:r>
      <w:r>
        <w:rPr>
          <w:bCs/>
          <w:b/>
        </w:rPr>
        <w:t xml:space="preserve">about 19–21%</w:t>
      </w:r>
      <w:r>
        <w:t xml:space="preserve"> </w:t>
      </w:r>
      <w:r>
        <w:t xml:space="preserve">lower errors at &lt;3h on Kelmarsh and Penmanshiel, and</w:t>
      </w:r>
      <w:r>
        <w:t xml:space="preserve"> </w:t>
      </w:r>
      <w:r>
        <w:rPr>
          <w:bCs/>
          <w:b/>
        </w:rPr>
        <w:t xml:space="preserve">about 30–32%</w:t>
      </w:r>
      <w:r>
        <w:t xml:space="preserve"> </w:t>
      </w:r>
      <w:r>
        <w:t xml:space="preserve">lower errors at &lt;6h; on the larger Hill of Towie farm, the gains remain consistent at</w:t>
      </w:r>
      <w:r>
        <w:t xml:space="preserve"> </w:t>
      </w:r>
      <w:r>
        <w:rPr>
          <w:bCs/>
          <w:b/>
        </w:rPr>
        <w:t xml:space="preserve">about 11–12%</w:t>
      </w:r>
      <w:r>
        <w:t xml:space="preserve"> </w:t>
      </w:r>
      <w:r>
        <w:t xml:space="preserve">(&lt;3h) and</w:t>
      </w:r>
      <w:r>
        <w:t xml:space="preserve"> </w:t>
      </w:r>
      <w:r>
        <w:rPr>
          <w:bCs/>
          <w:b/>
        </w:rPr>
        <w:t xml:space="preserve">about 22%</w:t>
      </w:r>
      <w:r>
        <w:t xml:space="preserve"> </w:t>
      </w:r>
      <w:r>
        <w:t xml:space="preserve">(&lt;6h). The larger relative improvements at &lt;6h align with the limitation of SCADA-only forecasting: as the horizon increases, turbine measurements become less informative about upcoming mesoscale changes, while drift accumulates in purely extrapolative predictions.</w:t>
      </w:r>
    </w:p>
    <w:p>
      <w:pPr>
        <w:pStyle w:val="BodyText"/>
      </w:pPr>
      <w:r>
        <w:t xml:space="preserve">Generic time-series forecasters and large pre-trained time-series models consistently show the weakest performance. A plausible explanation is that they mainly capture temporal regularities while treating the farm as a flat multivariate sequence, lacking explicit spatial inductive bias for cross-turbine dependence, which leads to the larger error growth as the forecast horizon extends.</w:t>
      </w:r>
      <w:r>
        <w:t xml:space="preserve"> </w:t>
      </w:r>
      <w:r>
        <w:t xml:space="preserve">In contrast, spatio-temporal models are generally stronger, suggesting that explicitly modeling turbine-to-turbine interactions is beneficial, and this benefit becomes more evident on larger farms where spatial structure is richer. The best-performing ST variants likely benefit from more expressive spatial aggregation and temporal modeling (e.g., adaptive dependency learning), but still fall short of our proposed model, indicating that SCADA-only learning cannot fully resolve longer-horizon uncertainty without external</w:t>
      </w:r>
      <w:r>
        <w:t xml:space="preserve"> </w:t>
      </w:r>
      <w:r>
        <w:t xml:space="preserve">“</w:t>
      </w:r>
      <w:r>
        <w:t xml:space="preserve">look-ahead</w:t>
      </w:r>
      <w:r>
        <w:t xml:space="preserve">”</w:t>
      </w:r>
      <w:r>
        <w:t xml:space="preserve"> </w:t>
      </w:r>
      <w:r>
        <w:t xml:space="preserve">information.</w:t>
      </w:r>
      <w:r>
        <w:t xml:space="preserve"> </w:t>
      </w:r>
      <w:r>
        <w:t xml:space="preserve">These results motivate the hybrid input comparison in</w:t>
      </w:r>
      <w:r>
        <w:t xml:space="preserve"> </w:t>
      </w:r>
      <w:hyperlink w:anchor="table:nwpfusion-baselines">
        <w:r>
          <w:rPr>
            <w:rStyle w:val="Hyperlink"/>
          </w:rPr>
          <w:t xml:space="preserve">[table:nwpfusion-baselines]</w:t>
        </w:r>
      </w:hyperlink>
      <w:r>
        <w:t xml:space="preserve"> </w:t>
      </w:r>
      <w:r>
        <w:t xml:space="preserve">While incorporating CERRA forecasts has the potential to break the SCADA-only ceiling, it is non-trivial due to data heterogeneity and physical interaction, which are the problems our model trying to solve.</w:t>
      </w:r>
    </w:p>
    <w:bookmarkEnd w:id="23"/>
    <w:bookmarkStart w:id="24" w:name="additional-scadacerra-fusion-baselines"/>
    <w:p>
      <w:pPr>
        <w:pStyle w:val="Heading3"/>
      </w:pPr>
      <w:r>
        <w:rPr>
          <w:bCs/>
          <w:b/>
        </w:rPr>
        <w:t xml:space="preserve">Additional SCADA+CERRA fusion baselines</w:t>
      </w:r>
    </w:p>
    <w:p>
      <w:pPr>
        <w:pStyle w:val="FirstParagraph"/>
      </w:pPr>
      <w:hyperlink w:anchor="table:nwpfusion-baselines">
        <w:r>
          <w:rPr>
            <w:rStyle w:val="Hyperlink"/>
          </w:rPr>
          <w:t xml:space="preserve">[table:nwpfusion-baselines]</w:t>
        </w:r>
      </w:hyperlink>
      <w:r>
        <w:t xml:space="preserve"> </w:t>
      </w:r>
      <w:r>
        <w:t xml:space="preserve">evaluates NAR baselines under a shared SCADA+NWP embedding scheme. Concretely, the decoder input is formed by concatenating the historical tokens with the NWP block, and then applying the standard Informer-style embedding as the sum of value, positional, and temporal embeddings. Compared with SCADA-only forecasting (</w:t>
      </w:r>
      <w:hyperlink w:anchor="table:ai">
        <w:r>
          <w:rPr>
            <w:rStyle w:val="Hyperlink"/>
          </w:rPr>
          <w:t xml:space="preserve">[table:ai]</w:t>
        </w:r>
      </w:hyperlink>
      <w:r>
        <w:t xml:space="preserve">), adding CERRA consistently reduces both MAE and RMSE on all three wind farms, with larger gains at longer horizons.</w:t>
      </w:r>
      <w:r>
        <w:t xml:space="preserve"> </w:t>
      </w:r>
      <w:r>
        <w:t xml:space="preserve">Within these baselines, models with explicit spatial inductive bias (e.g., MPNN/AGCRN) are generally strongest, while simpler/linear backbones(MLP/ARMLP and especially DLinear) lag behind, likely due to limited capacity to model heterogeneous inputs and nonlinear cross-modal interactions. Despite these improvements, our method remains best on all farms and horizons, delivering</w:t>
      </w:r>
      <w:r>
        <w:t xml:space="preserve"> </w:t>
      </w:r>
      <w:r>
        <w:rPr>
          <w:bCs/>
          <w:b/>
        </w:rPr>
        <w:t xml:space="preserve">about 15–17%</w:t>
      </w:r>
      <w:r>
        <w:t xml:space="preserve"> </w:t>
      </w:r>
      <w:r>
        <w:t xml:space="preserve">lower errors at &lt;3h and</w:t>
      </w:r>
      <w:r>
        <w:t xml:space="preserve"> </w:t>
      </w:r>
      <w:r>
        <w:rPr>
          <w:bCs/>
          <w:b/>
        </w:rPr>
        <w:t xml:space="preserve">25–29%</w:t>
      </w:r>
      <w:r>
        <w:t xml:space="preserve"> </w:t>
      </w:r>
      <w:r>
        <w:t xml:space="preserve">at &lt;6h on Kelmarsh and Penmanshiel, and</w:t>
      </w:r>
      <w:r>
        <w:t xml:space="preserve"> </w:t>
      </w:r>
      <w:r>
        <w:rPr>
          <w:bCs/>
          <w:b/>
        </w:rPr>
        <w:t xml:space="preserve">about 6–7%</w:t>
      </w:r>
      <w:r>
        <w:t xml:space="preserve"> </w:t>
      </w:r>
      <w:r>
        <w:t xml:space="preserve">at &lt;3h and</w:t>
      </w:r>
      <w:r>
        <w:t xml:space="preserve"> </w:t>
      </w:r>
      <w:r>
        <w:rPr>
          <w:bCs/>
          <w:b/>
        </w:rPr>
        <w:t xml:space="preserve">15–19%</w:t>
      </w:r>
      <w:r>
        <w:t xml:space="preserve"> </w:t>
      </w:r>
      <w:r>
        <w:t xml:space="preserve">at &lt;6h on Hill of Towie compared with the strongest fusion baseline.</w:t>
      </w:r>
      <w:r>
        <w:t xml:space="preserve"> </w:t>
      </w:r>
      <w:r>
        <w:t xml:space="preserve">This gap indicates that the performance bottleneck is not only the availability of NWP itself, but how SCADA and NWP are fused: simple token-level concatenation and generic embeddings are insufficient to capture vector-valued physical relations (e.g., direction-dependent inflow, yaw misalignment, and transport-driven linkage between turbine-point states and global wind fields). By explicitly encoding geometric invariances and performing a fusion mechanism tailored to this forecasting setting, our model better exploits NWP signals and yields larger gains, especially at longer horizons.</w:t>
      </w:r>
    </w:p>
    <w:bookmarkEnd w:id="24"/>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Times New Roman" w:asciiTheme="minorHAnsi" w:cs="Times New Roman" w:cstheme="minorBidi" w:eastAsia="Times New Roman" w:eastAsiaTheme="minorHAnsi" w:hAnsi="Times New Roman" w:hAnsiTheme="minorHAnsi"/>
        <w:sz w:val="24"/>
        <w:szCs w:val="24"/>
        <w:lang w:bidi="ar-SA" w:eastAsia="en-US" w:val="en-US"/>
      </w:rPr>
    </w:rPrDefault>
    <w:pPrDefault>
      <w:pPr>
        <w:spacing w:after="0" w:before="0" w:line="240" w:lineRule="auto"/>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rPr>
    <w:pPr>
      <w:spacing w:after="0" w:before="0" w:line="240" w:lineRule="auto"/>
    </w:pPr>
  </w:style>
  <w:style w:styleId="BodyText" w:type="paragraph">
    <w:name w:val="Body Text"/>
    <w:basedOn w:val="Normal"/>
    <w:link w:val="BodyTextChar"/>
    <w:pPr>
      <w:spacing w:after="0" w:before="0" w:line="240" w:lineRule="auto"/>
    </w:pPr>
    <w:qFormat/>
    <w:rPr>
      <w:rFonts w:ascii="Times New Roman" w:cs="Times New Roman" w:eastAsia="Times New Roman" w:hAnsi="Times New Roman"/>
    </w:rPr>
  </w:style>
  <w:style w:customStyle="1" w:styleId="FirstParagraph" w:type="paragraph">
    <w:name w:val="First Paragraph"/>
    <w:basedOn w:val="BodyText"/>
    <w:next w:val="BodyText"/>
    <w:qFormat/>
    <w:rPr>
      <w:rFonts w:ascii="Times New Roman" w:cs="Times New Roman" w:eastAsia="Times New Roman" w:hAnsi="Times New Roman"/>
    </w:rPr>
    <w:pPr>
      <w:spacing w:after="0" w:before="0" w:line="240" w:lineRule="auto"/>
    </w:pPr>
  </w:style>
  <w:style w:customStyle="1" w:styleId="Compact" w:type="paragraph">
    <w:name w:val="Compact"/>
    <w:basedOn w:val="BodyText"/>
    <w:qFormat/>
    <w:pPr>
      <w:spacing w:after="0" w:before="0" w:line="240" w:lineRule="auto"/>
    </w:pPr>
    <w:rPr>
      <w:rFonts w:ascii="Times New Roman" w:cs="Times New Roman" w:eastAsia="Times New Roman" w:hAnsi="Times New Roman"/>
    </w:rPr>
  </w:style>
  <w:style w:styleId="Title" w:type="paragraph">
    <w:name w:val="Title"/>
    <w:basedOn w:val="Normal"/>
    <w:next w:val="BodyText"/>
    <w:qFormat/>
    <w:pPr>
      <w:keepNext/>
      <w:keepLines/>
      <w:spacing w:after="0" w:before="0" w:line="240" w:lineRule="auto"/>
      <w:jc w:val="center"/>
    </w:pPr>
    <w:rPr>
      <w:rFonts w:ascii="Times New Roman" w:asciiTheme="majorHAnsi" w:cs="Times New Roman" w:cstheme="majorBidi" w:eastAsia="Times New Roman" w:eastAsiaTheme="majorEastAsia" w:hAnsi="Times New Roman" w:hAnsiTheme="majorHAnsi"/>
      <w:b/>
      <w:bCs/>
      <w:color w:themeColor="accent1" w:themeShade="B5" w:val="345A8A"/>
      <w:sz w:val="36"/>
      <w:szCs w:val="36"/>
    </w:rPr>
  </w:style>
  <w:style w:styleId="Subtitle" w:type="paragraph">
    <w:name w:val="Subtitle"/>
    <w:basedOn w:val="Title"/>
    <w:next w:val="BodyText"/>
    <w:qFormat/>
    <w:pPr>
      <w:keepNext/>
      <w:keepLines/>
      <w:spacing w:after="0" w:before="0" w:line="240" w:lineRule="auto"/>
      <w:jc w:val="center"/>
    </w:pPr>
    <w:rPr>
      <w:sz w:val="30"/>
      <w:szCs w:val="30"/>
      <w:rFonts w:ascii="Times New Roman" w:cs="Times New Roman" w:eastAsia="Times New Roman" w:hAnsi="Times New Roman"/>
    </w:rPr>
  </w:style>
  <w:style w:customStyle="1" w:styleId="Author" w:type="paragraph">
    <w:name w:val="Author"/>
    <w:next w:val="BodyText"/>
    <w:qFormat/>
    <w:pPr>
      <w:keepNext/>
      <w:keepLines/>
      <w:jc w:val="center"/>
      <w:spacing w:after="0" w:before="0" w:line="240" w:lineRule="auto"/>
    </w:pPr>
    <w:rPr>
      <w:rFonts w:ascii="Times New Roman" w:cs="Times New Roman" w:eastAsia="Times New Roman" w:hAnsi="Times New Roman"/>
    </w:rPr>
  </w:style>
  <w:style w:styleId="Date" w:type="paragraph">
    <w:name w:val="Date"/>
    <w:next w:val="BodyText"/>
    <w:qFormat/>
    <w:pPr>
      <w:keepNext/>
      <w:keepLines/>
      <w:jc w:val="center"/>
      <w:spacing w:after="0" w:before="0" w:line="240" w:lineRule="auto"/>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0" w:line="240" w:lineRule="auto"/>
    </w:pPr>
    <w:rPr>
      <w:sz w:val="20"/>
      <w:szCs w:val="20"/>
      <w:b/>
      <w:color w:val="345A8A"/>
      &gt;
      <w:rFonts w:ascii="Times New Roman" w:cs="Times New Roman" w:eastAsia="Times New Roman" w:hAnsi="Times New Roman"/>
    </w:rPr>
  </w:style>
  <w:style w:customStyle="1" w:styleId="Abstract" w:type="paragraph">
    <w:name w:val="Abstract"/>
    <w:basedOn w:val="Normal"/>
    <w:next w:val="BodyText"/>
    <w:qFormat/>
    <w:pPr>
      <w:keepNext/>
      <w:keepLines/>
      <w:spacing w:after="0" w:before="0" w:line="240" w:lineRule="auto"/>
    </w:pPr>
    <w:rPr>
      <w:sz w:val="20"/>
      <w:szCs w:val="20"/>
      <w:rFonts w:ascii="Times New Roman" w:cs="Times New Roman" w:eastAsia="Times New Roman" w:hAnsi="Times New Roman"/>
    </w:rPr>
  </w:style>
  <w:style w:styleId="Bibliography" w:type="paragraph">
    <w:name w:val="Bibliography"/>
    <w:basedOn w:val="Normal"/>
    <w:next w:val="Bibliography"/>
    <w:qFormat/>
    <w:pPr>
      <w:spacing w:after="0" w:before="0" w:line="240" w:lineRule="auto"/>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0" w:line="240" w:lineRule="auto"/>
      <w:outlineLvl w:val="0"/>
    </w:pPr>
    <w:rPr>
      <w:rFonts w:ascii="Times New Roman" w:asciiTheme="majorHAnsi" w:cs="Times New Roman" w:cstheme="majorBidi" w:eastAsia="Times New Roman" w:eastAsiaTheme="majorEastAsia" w:hAnsi="Times New Roman"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0" w:line="240" w:lineRule="auto"/>
      <w:outlineLvl w:val="1"/>
    </w:pPr>
    <w:rPr>
      <w:rFonts w:ascii="Times New Roman" w:asciiTheme="majorHAnsi" w:cs="Times New Roman" w:cstheme="majorBidi" w:eastAsia="Times New Roman" w:eastAsiaTheme="majorEastAsia" w:hAnsi="Times New Roman"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0" w:line="240" w:lineRule="auto"/>
      <w:outlineLvl w:val="2"/>
    </w:pPr>
    <w:rPr>
      <w:rFonts w:ascii="Times New Roman" w:asciiTheme="majorHAnsi" w:cs="Times New Roman" w:cstheme="majorBidi" w:eastAsia="Times New Roman" w:eastAsiaTheme="majorEastAsia" w:hAnsi="Times New Roman"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0" w:line="240" w:lineRule="auto"/>
      <w:outlineLvl w:val="3"/>
    </w:pPr>
    <w:rPr>
      <w:rFonts w:ascii="Times New Roman" w:asciiTheme="majorHAnsi" w:cs="Times New Roman" w:cstheme="majorBidi" w:eastAsia="Times New Roman" w:eastAsiaTheme="majorEastAsia" w:hAnsi="Times New Roman"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0" w:line="240" w:lineRule="auto"/>
      <w:outlineLvl w:val="4"/>
    </w:pPr>
    <w:rPr>
      <w:rFonts w:ascii="Times New Roman" w:asciiTheme="majorHAnsi" w:cs="Times New Roman" w:cstheme="majorBidi" w:eastAsia="Times New Roman" w:eastAsiaTheme="majorEastAsia" w:hAnsi="Times New Roman"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0" w:line="240" w:lineRule="auto"/>
      <w:outlineLvl w:val="5"/>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0" w:line="240" w:lineRule="auto"/>
      <w:outlineLvl w:val="6"/>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0" w:line="240" w:lineRule="auto"/>
      <w:outlineLvl w:val="7"/>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0" w:line="240" w:lineRule="auto"/>
      <w:outlineLvl w:val="8"/>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BlockText" w:type="paragraph">
    <w:name w:val="Block Text"/>
    <w:basedOn w:val="BodyText"/>
    <w:next w:val="BodyText"/>
    <w:uiPriority w:val="9"/>
    <w:unhideWhenUsed/>
    <w:qFormat/>
    <w:pPr>
      <w:spacing w:after="0" w:before="0" w:line="240" w:lineRule="auto"/>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pPr>
      <w:spacing w:after="0" w:before="0" w:line="240" w:lineRule="auto"/>
    </w:p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rFonts w:ascii="Times New Roman" w:cs="Times New Roman" w:eastAsia="Times New Roman" w:hAnsi="Times New Roman"/>
    </w:rPr>
  </w:style>
  <w:style w:customStyle="1" w:styleId="DefinitionTerm" w:type="paragraph">
    <w:name w:val="Definition Term"/>
    <w:basedOn w:val="Normal"/>
    <w:next w:val="Definition"/>
    <w:pPr>
      <w:keepNext/>
      <w:keepLines/>
      <w:spacing w:after="0" w:before="0" w:line="240" w:lineRule="auto"/>
    </w:pPr>
    <w:rPr>
      <w:b/>
      <w:rFonts w:ascii="Times New Roman" w:cs="Times New Roman" w:eastAsia="Times New Roman" w:hAnsi="Times New Roman"/>
    </w:rPr>
  </w:style>
  <w:style w:customStyle="1" w:styleId="Definition" w:type="paragraph">
    <w:name w:val="Definition"/>
    <w:basedOn w:val="Normal"/>
    <w:rPr>
      <w:rFonts w:ascii="Times New Roman" w:cs="Times New Roman" w:eastAsia="Times New Roman" w:hAnsi="Times New Roman"/>
    </w:rPr>
    <w:pPr>
      <w:spacing w:after="0" w:before="0" w:line="240" w:lineRule="auto"/>
    </w:pPr>
  </w:style>
  <w:style w:styleId="Caption" w:type="paragraph">
    <w:name w:val="Caption"/>
    <w:basedOn w:val="Normal"/>
    <w:link w:val="BodyTextChar"/>
    <w:pPr>
      <w:spacing w:after="0" w:before="0" w:line="240" w:lineRule="auto"/>
    </w:pPr>
    <w:rPr>
      <w:i/>
      <w:rFonts w:ascii="Times New Roman" w:cs="Times New Roman" w:eastAsia="Times New Roman" w:hAnsi="Times New Roman"/>
    </w:rPr>
  </w:style>
  <w:style w:customStyle="1" w:styleId="TableCaption" w:type="paragraph">
    <w:name w:val="Table Caption"/>
    <w:basedOn w:val="Caption"/>
    <w:pPr>
      <w:keepNext/>
      <w:spacing w:after="0" w:before="0" w:line="240" w:lineRule="auto"/>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pPr>
      <w:spacing w:after="0" w:before="0" w:line="240" w:lineRule="auto"/>
    </w:pPr>
  </w:style>
  <w:style w:customStyle="1" w:styleId="Figure" w:type="paragraph">
    <w:name w:val="Figure"/>
    <w:basedOn w:val="Normal"/>
    <w:rPr>
      <w:rFonts w:ascii="Times New Roman" w:cs="Times New Roman" w:eastAsia="Times New Roman" w:hAnsi="Times New Roman"/>
    </w:rPr>
    <w:pPr>
      <w:spacing w:after="0" w:before="0" w:line="240" w:lineRule="auto"/>
    </w:pPr>
  </w:style>
  <w:style w:customStyle="1" w:styleId="CaptionedFigure" w:type="paragraph">
    <w:name w:val="Captioned Figure"/>
    <w:basedOn w:val="Figure"/>
    <w:pPr>
      <w:keepNext/>
      <w:spacing w:after="0" w:before="0" w:line="240" w:lineRule="auto"/>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vertAlign w:val="superscript"/>
      <w:rFonts w:ascii="Times New Roman" w:cs="Times New Roman" w:eastAsia="Times New Roman" w:hAnsi="Times New Roman"/>
    </w:rPr>
  </w:style>
  <w:style w:styleId="Hyperlink" w:type="character">
    <w:name w:val="Hyperlink"/>
    <w:basedOn w:val="BodyTextChar"/>
    <w:rPr>
      <w:color w:themeColor="accent1" w:val="4F81BD"/>
      <w:rFonts w:ascii="Times New Roman" w:cs="Times New Roman" w:eastAsia="Times New Roman" w:hAnsi="Times New Roman"/>
    </w:rPr>
  </w:style>
  <w:style w:styleId="TOCHeading" w:type="paragraph">
    <w:name w:val="TOC Heading"/>
    <w:basedOn w:val="Heading1"/>
    <w:next w:val="BodyText"/>
    <w:uiPriority w:val="39"/>
    <w:unhideWhenUsed/>
    <w:qFormat/>
    <w:pPr>
      <w:spacing w:after="0" w:before="0" w:line="240"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customStyle="1" w:styleId="SourceCode" w:type="paragraph">
    <w:name w:val="Source Code"/>
    <w:basedOn w:val="Normal"/>
    <w:link w:val="VerbatimChar"/>
    <w:pPr>
      <w:wordWrap w:val="off"/>
      <w:spacing w:after="0" w:before="0" w:line="240" w:lineRule="auto"/>
    </w:pPr>
    <w:rPr>
      <w:rFonts w:ascii="Times New Roman" w:cs="Times New Roman" w:eastAsia="Times New Roman" w:hAnsi="Times New Roman"/>
    </w:rPr>
  </w:style>
  <w:style w:customStyle="1" w:styleId="KeywordTok" w:type="character">
    <w:name w:val="KeywordTok"/>
    <w:basedOn w:val="VerbatimChar"/>
    <w:rPr>
      <w:color w:val="007020"/>
      <w:b/>
      <w:rFonts w:ascii="Times New Roman" w:cs="Times New Roman" w:eastAsia="Times New Roman" w:hAnsi="Times New Roman"/>
    </w:rPr>
  </w:style>
  <w:style w:customStyle="1" w:styleId="DataTypeTok" w:type="character">
    <w:name w:val="DataTypeTok"/>
    <w:basedOn w:val="VerbatimChar"/>
    <w:rPr>
      <w:color w:val="902000"/>
      <w:rFonts w:ascii="Times New Roman" w:cs="Times New Roman" w:eastAsia="Times New Roman" w:hAnsi="Times New Roman"/>
    </w:rPr>
  </w:style>
  <w:style w:customStyle="1" w:styleId="DecValTok" w:type="character">
    <w:name w:val="DecValTok"/>
    <w:basedOn w:val="VerbatimChar"/>
    <w:rPr>
      <w:color w:val="40a070"/>
      <w:rFonts w:ascii="Times New Roman" w:cs="Times New Roman" w:eastAsia="Times New Roman" w:hAnsi="Times New Roman"/>
    </w:rPr>
  </w:style>
  <w:style w:customStyle="1" w:styleId="BaseNTok" w:type="character">
    <w:name w:val="BaseNTok"/>
    <w:basedOn w:val="VerbatimChar"/>
    <w:rPr>
      <w:color w:val="40a070"/>
      <w:rFonts w:ascii="Times New Roman" w:cs="Times New Roman" w:eastAsia="Times New Roman" w:hAnsi="Times New Roman"/>
    </w:rPr>
  </w:style>
  <w:style w:customStyle="1" w:styleId="FloatTok" w:type="character">
    <w:name w:val="FloatTok"/>
    <w:basedOn w:val="VerbatimChar"/>
    <w:rPr>
      <w:color w:val="40a070"/>
      <w:rFonts w:ascii="Times New Roman" w:cs="Times New Roman" w:eastAsia="Times New Roman" w:hAnsi="Times New Roman"/>
    </w:rPr>
  </w:style>
  <w:style w:customStyle="1" w:styleId="ConstantTok" w:type="character">
    <w:name w:val="ConstantTok"/>
    <w:basedOn w:val="VerbatimChar"/>
    <w:rPr>
      <w:color w:val="880000"/>
      <w:rFonts w:ascii="Times New Roman" w:cs="Times New Roman" w:eastAsia="Times New Roman" w:hAnsi="Times New Roman"/>
    </w:rPr>
  </w:style>
  <w:style w:customStyle="1" w:styleId="CharTok" w:type="character">
    <w:name w:val="CharTok"/>
    <w:basedOn w:val="VerbatimChar"/>
    <w:rPr>
      <w:color w:val="4070a0"/>
      <w:rFonts w:ascii="Times New Roman" w:cs="Times New Roman" w:eastAsia="Times New Roman" w:hAnsi="Times New Roman"/>
    </w:rPr>
  </w:style>
  <w:style w:customStyle="1" w:styleId="SpecialCharTok" w:type="character">
    <w:name w:val="SpecialCharTok"/>
    <w:basedOn w:val="VerbatimChar"/>
    <w:rPr>
      <w:color w:val="4070a0"/>
      <w:rFonts w:ascii="Times New Roman" w:cs="Times New Roman" w:eastAsia="Times New Roman" w:hAnsi="Times New Roman"/>
    </w:rPr>
  </w:style>
  <w:style w:customStyle="1" w:styleId="StringTok" w:type="character">
    <w:name w:val="StringTok"/>
    <w:basedOn w:val="VerbatimChar"/>
    <w:rPr>
      <w:color w:val="4070a0"/>
      <w:rFonts w:ascii="Times New Roman" w:cs="Times New Roman" w:eastAsia="Times New Roman" w:hAnsi="Times New Roman"/>
    </w:rPr>
  </w:style>
  <w:style w:customStyle="1" w:styleId="VerbatimStringTok" w:type="character">
    <w:name w:val="VerbatimStringTok"/>
    <w:basedOn w:val="VerbatimChar"/>
    <w:rPr>
      <w:color w:val="4070a0"/>
      <w:rFonts w:ascii="Times New Roman" w:cs="Times New Roman" w:eastAsia="Times New Roman" w:hAnsi="Times New Roman"/>
    </w:rPr>
  </w:style>
  <w:style w:customStyle="1" w:styleId="SpecialStringTok" w:type="character">
    <w:name w:val="SpecialStringTok"/>
    <w:basedOn w:val="VerbatimChar"/>
    <w:rPr>
      <w:color w:val="bb6688"/>
      <w:rFonts w:ascii="Times New Roman" w:cs="Times New Roman" w:eastAsia="Times New Roman" w:hAnsi="Times New Roman"/>
    </w:rPr>
  </w:style>
  <w:style w:customStyle="1" w:styleId="ImportTok" w:type="character">
    <w:name w:val="ImportTok"/>
    <w:basedOn w:val="VerbatimChar"/>
    <w:rPr>
      <w:color w:val="008000"/>
      <w:b/>
      <w:rFonts w:ascii="Times New Roman" w:cs="Times New Roman" w:eastAsia="Times New Roman" w:hAnsi="Times New Roman"/>
    </w:rPr>
  </w:style>
  <w:style w:customStyle="1" w:styleId="CommentTok" w:type="character">
    <w:name w:val="CommentTok"/>
    <w:basedOn w:val="VerbatimChar"/>
    <w:rPr>
      <w:color w:val="60a0b0"/>
      <w:i/>
      <w:rFonts w:ascii="Times New Roman" w:cs="Times New Roman" w:eastAsia="Times New Roman" w:hAnsi="Times New Roman"/>
    </w:rPr>
  </w:style>
  <w:style w:customStyle="1" w:styleId="DocumentationTok" w:type="character">
    <w:name w:val="DocumentationTok"/>
    <w:basedOn w:val="VerbatimChar"/>
    <w:rPr>
      <w:color w:val="ba2121"/>
      <w:i/>
      <w:rFonts w:ascii="Times New Roman" w:cs="Times New Roman" w:eastAsia="Times New Roman" w:hAnsi="Times New Roman"/>
    </w:rPr>
  </w:style>
  <w:style w:customStyle="1" w:styleId="AnnotationTok" w:type="character">
    <w:name w:val="AnnotationTok"/>
    <w:basedOn w:val="VerbatimChar"/>
    <w:rPr>
      <w:color w:val="60a0b0"/>
      <w:b/>
      <w:i/>
      <w:rFonts w:ascii="Times New Roman" w:cs="Times New Roman" w:eastAsia="Times New Roman" w:hAnsi="Times New Roman"/>
    </w:rPr>
  </w:style>
  <w:style w:customStyle="1" w:styleId="CommentVarTok" w:type="character">
    <w:name w:val="CommentVarTok"/>
    <w:basedOn w:val="VerbatimChar"/>
    <w:rPr>
      <w:color w:val="60a0b0"/>
      <w:b/>
      <w:i/>
      <w:rFonts w:ascii="Times New Roman" w:cs="Times New Roman" w:eastAsia="Times New Roman" w:hAnsi="Times New Roman"/>
    </w:rPr>
  </w:style>
  <w:style w:customStyle="1" w:styleId="OtherTok" w:type="character">
    <w:name w:val="OtherTok"/>
    <w:basedOn w:val="VerbatimChar"/>
    <w:rPr>
      <w:color w:val="007020"/>
      <w:rFonts w:ascii="Times New Roman" w:cs="Times New Roman" w:eastAsia="Times New Roman" w:hAnsi="Times New Roman"/>
    </w:rPr>
  </w:style>
  <w:style w:customStyle="1" w:styleId="FunctionTok" w:type="character">
    <w:name w:val="FunctionTok"/>
    <w:basedOn w:val="VerbatimChar"/>
    <w:rPr>
      <w:color w:val="06287e"/>
      <w:rFonts w:ascii="Times New Roman" w:cs="Times New Roman" w:eastAsia="Times New Roman" w:hAnsi="Times New Roman"/>
    </w:rPr>
  </w:style>
  <w:style w:customStyle="1" w:styleId="VariableTok" w:type="character">
    <w:name w:val="VariableTok"/>
    <w:basedOn w:val="VerbatimChar"/>
    <w:rPr>
      <w:color w:val="19177c"/>
      <w:rFonts w:ascii="Times New Roman" w:cs="Times New Roman" w:eastAsia="Times New Roman" w:hAnsi="Times New Roman"/>
    </w:rPr>
  </w:style>
  <w:style w:customStyle="1" w:styleId="ControlFlowTok" w:type="character">
    <w:name w:val="ControlFlowTok"/>
    <w:basedOn w:val="VerbatimChar"/>
    <w:rPr>
      <w:color w:val="007020"/>
      <w:b/>
      <w:rFonts w:ascii="Times New Roman" w:cs="Times New Roman" w:eastAsia="Times New Roman" w:hAnsi="Times New Roman"/>
    </w:rPr>
  </w:style>
  <w:style w:customStyle="1" w:styleId="OperatorTok" w:type="character">
    <w:name w:val="OperatorTok"/>
    <w:basedOn w:val="VerbatimChar"/>
    <w:rPr>
      <w:color w:val="666666"/>
      <w:rFonts w:ascii="Times New Roman" w:cs="Times New Roman" w:eastAsia="Times New Roman" w:hAnsi="Times New Roman"/>
    </w:rPr>
  </w:style>
  <w:style w:customStyle="1" w:styleId="BuiltInTok" w:type="character">
    <w:name w:val="BuiltInTok"/>
    <w:basedOn w:val="VerbatimChar"/>
    <w:rPr>
      <w:color w:val="008000"/>
      <w:rFonts w:ascii="Times New Roman" w:cs="Times New Roman" w:eastAsia="Times New Roman" w:hAnsi="Times New Roman"/>
    </w:rPr>
  </w:style>
  <w:style w:customStyle="1" w:styleId="ExtensionTok" w:type="character">
    <w:name w:val="ExtensionTok"/>
    <w:basedOn w:val="VerbatimChar"/>
    <w:rPr>
      <w:rFonts w:ascii="Times New Roman" w:cs="Times New Roman" w:eastAsia="Times New Roman" w:hAnsi="Times New Roman"/>
    </w:rPr>
  </w:style>
  <w:style w:customStyle="1" w:styleId="PreprocessorTok" w:type="character">
    <w:name w:val="PreprocessorTok"/>
    <w:basedOn w:val="VerbatimChar"/>
    <w:rPr>
      <w:color w:val="bc7a00"/>
      <w:rFonts w:ascii="Times New Roman" w:cs="Times New Roman" w:eastAsia="Times New Roman" w:hAnsi="Times New Roman"/>
    </w:rPr>
  </w:style>
  <w:style w:customStyle="1" w:styleId="AttributeTok" w:type="character">
    <w:name w:val="AttributeTok"/>
    <w:basedOn w:val="VerbatimChar"/>
    <w:rPr>
      <w:color w:val="7d9029"/>
      <w:rFonts w:ascii="Times New Roman" w:cs="Times New Roman" w:eastAsia="Times New Roman" w:hAnsi="Times New Roman"/>
    </w:rPr>
  </w:style>
  <w:style w:customStyle="1" w:styleId="RegionMarkerTok" w:type="character">
    <w:name w:val="RegionMarkerTok"/>
    <w:basedOn w:val="VerbatimChar"/>
    <w:rPr>
      <w:rFonts w:ascii="Times New Roman" w:cs="Times New Roman" w:eastAsia="Times New Roman" w:hAnsi="Times New Roman"/>
    </w:rPr>
  </w:style>
  <w:style w:customStyle="1" w:styleId="InformationTok" w:type="character">
    <w:name w:val="InformationTok"/>
    <w:basedOn w:val="VerbatimChar"/>
    <w:rPr>
      <w:color w:val="60a0b0"/>
      <w:b/>
      <w:i/>
      <w:rFonts w:ascii="Times New Roman" w:cs="Times New Roman" w:eastAsia="Times New Roman" w:hAnsi="Times New Roman"/>
    </w:rPr>
  </w:style>
  <w:style w:customStyle="1" w:styleId="WarningTok" w:type="character">
    <w:name w:val="WarningTok"/>
    <w:basedOn w:val="VerbatimChar"/>
    <w:rPr>
      <w:color w:val="60a0b0"/>
      <w:b/>
      <w:i/>
      <w:rFonts w:ascii="Times New Roman" w:cs="Times New Roman" w:eastAsia="Times New Roman" w:hAnsi="Times New Roman"/>
    </w:rPr>
  </w:style>
  <w:style w:customStyle="1" w:styleId="AlertTok" w:type="character">
    <w:name w:val="AlertTok"/>
    <w:basedOn w:val="VerbatimChar"/>
    <w:rPr>
      <w:color w:val="ff0000"/>
      <w:b/>
      <w:rFonts w:ascii="Times New Roman" w:cs="Times New Roman" w:eastAsia="Times New Roman" w:hAnsi="Times New Roman"/>
    </w:rPr>
  </w:style>
  <w:style w:customStyle="1" w:styleId="ErrorTok" w:type="character">
    <w:name w:val="ErrorTok"/>
    <w:basedOn w:val="VerbatimChar"/>
    <w:rPr>
      <w:color w:val="ff0000"/>
      <w:b/>
      <w:rFonts w:ascii="Times New Roman" w:cs="Times New Roman" w:eastAsia="Times New Roman" w:hAnsi="Times New Roman"/>
    </w:rPr>
  </w:style>
  <w:style w:customStyle="1" w:styleId="NormalTok" w:type="character">
    <w:name w:val="NormalTok"/>
    <w:basedOn w:val="VerbatimChar"/>
    <w:rPr>
      <w:rFonts w:ascii="Times New Roman" w:cs="Times New Roman" w:eastAsia="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2026-04-14T15:54:26Z</dcterms:created>
  <dcterms:modified xsi:type="dcterms:W3CDTF">2026-04-14T15:54:26Z</dcterms:modified>
</cp:coreProperties>
</file>

<file path=docProps/custom.xml><?xml version="1.0" encoding="utf-8"?>
<Properties xmlns="http://schemas.openxmlformats.org/officeDocument/2006/custom-properties" xmlns:vt="http://schemas.openxmlformats.org/officeDocument/2006/docPropsVTypes"/>
</file>